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6E3" w:rsidRPr="00B2635E" w:rsidRDefault="000D36E3" w:rsidP="000D36E3">
      <w:pPr>
        <w:spacing w:line="240" w:lineRule="auto"/>
        <w:jc w:val="center"/>
        <w:rPr>
          <w:rFonts w:ascii="Dubai Light" w:hAnsi="Dubai Light" w:cs="Dubai Light" w:hint="cs"/>
          <w:b/>
          <w:sz w:val="24"/>
          <w:szCs w:val="24"/>
        </w:rPr>
      </w:pPr>
      <w:bookmarkStart w:id="0" w:name="_Hlk3989053"/>
      <w:bookmarkStart w:id="1" w:name="_Hlk3808059"/>
      <w:bookmarkEnd w:id="0"/>
    </w:p>
    <w:p w:rsidR="00915B7B" w:rsidRPr="00B2635E" w:rsidRDefault="00915B7B" w:rsidP="00915B7B">
      <w:pPr>
        <w:spacing w:after="160" w:line="259" w:lineRule="auto"/>
        <w:jc w:val="center"/>
        <w:rPr>
          <w:rFonts w:ascii="Dubai Light" w:hAnsi="Dubai Light" w:cs="Dubai Light" w:hint="cs"/>
          <w:b/>
          <w:sz w:val="24"/>
          <w:szCs w:val="24"/>
        </w:rPr>
      </w:pPr>
      <w:r w:rsidRPr="00B2635E">
        <w:rPr>
          <w:rFonts w:ascii="Dubai Light" w:hAnsi="Dubai Light" w:cs="Dubai Light" w:hint="cs"/>
          <w:b/>
          <w:sz w:val="24"/>
          <w:szCs w:val="24"/>
        </w:rPr>
        <w:t xml:space="preserve">INFORME DE </w:t>
      </w:r>
      <w:r w:rsidR="00580780" w:rsidRPr="00B2635E">
        <w:rPr>
          <w:rFonts w:ascii="Dubai Light" w:hAnsi="Dubai Light" w:cs="Dubai Light" w:hint="cs"/>
          <w:b/>
          <w:sz w:val="24"/>
          <w:szCs w:val="24"/>
        </w:rPr>
        <w:t xml:space="preserve">RENDICIÓN DE CUENTAS DEL </w:t>
      </w:r>
      <w:r w:rsidRPr="00B2635E">
        <w:rPr>
          <w:rFonts w:ascii="Dubai Light" w:hAnsi="Dubai Light" w:cs="Dubai Light" w:hint="cs"/>
          <w:b/>
          <w:sz w:val="24"/>
          <w:szCs w:val="24"/>
        </w:rPr>
        <w:t>SERVICIO PÚBLICO PARA PAGO DE ACCIDENTES DE TRÁNSITO – SPPAT ENERO A DICIEMBRE DE 2018</w:t>
      </w:r>
    </w:p>
    <w:p w:rsidR="003C26AF" w:rsidRPr="00B2635E" w:rsidRDefault="003C26AF" w:rsidP="00915B7B">
      <w:pPr>
        <w:spacing w:after="160" w:line="259" w:lineRule="auto"/>
        <w:jc w:val="center"/>
        <w:rPr>
          <w:rFonts w:ascii="Dubai Light" w:hAnsi="Dubai Light" w:cs="Dubai Light" w:hint="cs"/>
          <w:b/>
          <w:sz w:val="24"/>
          <w:szCs w:val="24"/>
        </w:rPr>
      </w:pPr>
    </w:p>
    <w:p w:rsidR="001D7E1F" w:rsidRPr="00B2635E" w:rsidRDefault="00915B7B" w:rsidP="00690388">
      <w:pPr>
        <w:pStyle w:val="Prrafodelista"/>
        <w:numPr>
          <w:ilvl w:val="0"/>
          <w:numId w:val="17"/>
        </w:numPr>
        <w:shd w:val="clear" w:color="auto" w:fill="FFFFFF"/>
        <w:tabs>
          <w:tab w:val="left" w:pos="1819"/>
          <w:tab w:val="left" w:pos="3312"/>
        </w:tabs>
        <w:spacing w:before="216"/>
        <w:jc w:val="both"/>
        <w:rPr>
          <w:rFonts w:ascii="Dubai Light" w:hAnsi="Dubai Light" w:cs="Dubai Light" w:hint="cs"/>
          <w:b/>
          <w:sz w:val="24"/>
          <w:szCs w:val="24"/>
          <w:u w:val="single"/>
        </w:rPr>
      </w:pPr>
      <w:r w:rsidRPr="00B2635E">
        <w:rPr>
          <w:rFonts w:ascii="Dubai Light" w:hAnsi="Dubai Light" w:cs="Dubai Light" w:hint="cs"/>
          <w:b/>
          <w:sz w:val="24"/>
          <w:szCs w:val="24"/>
          <w:u w:val="single"/>
        </w:rPr>
        <w:t>ANTECEDENTES</w:t>
      </w:r>
    </w:p>
    <w:p w:rsidR="00EA5CFC" w:rsidRPr="00B2635E" w:rsidRDefault="00690388" w:rsidP="00EA5CFC">
      <w:pPr>
        <w:spacing w:after="0" w:line="240" w:lineRule="auto"/>
        <w:jc w:val="both"/>
        <w:rPr>
          <w:rFonts w:ascii="Dubai Light" w:eastAsia="Times New Roman" w:hAnsi="Dubai Light" w:cs="Dubai Light" w:hint="cs"/>
          <w:i/>
          <w:sz w:val="24"/>
          <w:szCs w:val="24"/>
          <w:lang w:eastAsia="es-EC"/>
        </w:rPr>
      </w:pPr>
      <w:r w:rsidRPr="00B2635E">
        <w:rPr>
          <w:rFonts w:ascii="Dubai Light" w:eastAsia="Times New Roman" w:hAnsi="Dubai Light" w:cs="Dubai Light" w:hint="cs"/>
          <w:sz w:val="24"/>
          <w:szCs w:val="24"/>
          <w:lang w:eastAsia="es-EC"/>
        </w:rPr>
        <w:t>E</w:t>
      </w:r>
      <w:r w:rsidR="00EA5CFC" w:rsidRPr="00B2635E">
        <w:rPr>
          <w:rFonts w:ascii="Dubai Light" w:eastAsia="Times New Roman" w:hAnsi="Dubai Light" w:cs="Dubai Light" w:hint="cs"/>
          <w:sz w:val="24"/>
          <w:szCs w:val="24"/>
          <w:lang w:eastAsia="es-EC"/>
        </w:rPr>
        <w:t>l artículo 95 de la Constitución de la República del Ecuador señala:</w:t>
      </w:r>
      <w:r w:rsidR="00EA5CFC" w:rsidRPr="00B2635E">
        <w:rPr>
          <w:rFonts w:ascii="Dubai Light" w:eastAsia="Times New Roman" w:hAnsi="Dubai Light" w:cs="Dubai Light" w:hint="cs"/>
          <w:i/>
          <w:sz w:val="24"/>
          <w:szCs w:val="24"/>
          <w:lang w:eastAsia="es-EC"/>
        </w:rPr>
        <w:t xml:space="preserve">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participación de la ciudadanía en todos los asuntos de interés público es un derecho, que se ejercerá a través de los mecanismos de la democracia representativa, directa y comunitaria.</w:t>
      </w:r>
    </w:p>
    <w:p w:rsidR="00EA5CFC" w:rsidRPr="00B2635E" w:rsidRDefault="00EA5CFC" w:rsidP="00EA5CFC">
      <w:pPr>
        <w:spacing w:after="0" w:line="240" w:lineRule="auto"/>
        <w:jc w:val="both"/>
        <w:rPr>
          <w:rFonts w:ascii="Dubai Light" w:eastAsia="Times New Roman" w:hAnsi="Dubai Light" w:cs="Dubai Light" w:hint="cs"/>
          <w:i/>
          <w:sz w:val="24"/>
          <w:szCs w:val="24"/>
          <w:lang w:eastAsia="es-EC"/>
        </w:rPr>
      </w:pPr>
    </w:p>
    <w:p w:rsidR="00EA5CFC" w:rsidRPr="00B2635E" w:rsidRDefault="00690388" w:rsidP="00EA5CFC">
      <w:pPr>
        <w:jc w:val="both"/>
        <w:rPr>
          <w:rFonts w:ascii="Dubai Light" w:eastAsia="Times New Roman" w:hAnsi="Dubai Light" w:cs="Dubai Light" w:hint="cs"/>
          <w:i/>
          <w:sz w:val="24"/>
          <w:szCs w:val="24"/>
          <w:lang w:eastAsia="es-EC"/>
        </w:rPr>
      </w:pPr>
      <w:r w:rsidRPr="00B2635E">
        <w:rPr>
          <w:rFonts w:ascii="Dubai Light" w:eastAsia="Times New Roman" w:hAnsi="Dubai Light" w:cs="Dubai Light" w:hint="cs"/>
          <w:sz w:val="24"/>
          <w:szCs w:val="24"/>
          <w:lang w:eastAsia="es-EC"/>
        </w:rPr>
        <w:t>E</w:t>
      </w:r>
      <w:r w:rsidR="00EA5CFC" w:rsidRPr="00B2635E">
        <w:rPr>
          <w:rFonts w:ascii="Dubai Light" w:eastAsia="Times New Roman" w:hAnsi="Dubai Light" w:cs="Dubai Light" w:hint="cs"/>
          <w:sz w:val="24"/>
          <w:szCs w:val="24"/>
          <w:lang w:eastAsia="es-EC"/>
        </w:rPr>
        <w:t>l numeral 4 del artículo 100 de la Constitución de la República del Ecuador establece que la participación en los niveles de gobierno se ejerce para: “</w:t>
      </w:r>
      <w:r w:rsidR="00EA5CFC" w:rsidRPr="00B2635E">
        <w:rPr>
          <w:rFonts w:ascii="Dubai Light" w:eastAsia="Times New Roman" w:hAnsi="Dubai Light" w:cs="Dubai Light" w:hint="cs"/>
          <w:i/>
          <w:sz w:val="24"/>
          <w:szCs w:val="24"/>
          <w:lang w:eastAsia="es-EC"/>
        </w:rPr>
        <w:t>fortalecer la democracia con mecanismos permanentes de transparencia, rendición de cuentas y control social</w:t>
      </w:r>
      <w:r w:rsidR="00EA5CFC" w:rsidRPr="00B2635E">
        <w:rPr>
          <w:rFonts w:ascii="Dubai Light" w:eastAsia="Times New Roman" w:hAnsi="Dubai Light" w:cs="Dubai Light" w:hint="cs"/>
          <w:sz w:val="24"/>
          <w:szCs w:val="24"/>
          <w:lang w:eastAsia="es-EC"/>
        </w:rPr>
        <w:t>”.</w:t>
      </w:r>
    </w:p>
    <w:p w:rsidR="00EA5CFC" w:rsidRPr="00B2635E" w:rsidRDefault="00690388" w:rsidP="00EA5CFC">
      <w:pPr>
        <w:spacing w:after="0" w:line="240" w:lineRule="auto"/>
        <w:jc w:val="both"/>
        <w:rPr>
          <w:rFonts w:ascii="Dubai Light" w:eastAsia="Times New Roman" w:hAnsi="Dubai Light" w:cs="Dubai Light" w:hint="cs"/>
          <w:sz w:val="24"/>
          <w:szCs w:val="24"/>
          <w:lang w:eastAsia="es-EC"/>
        </w:rPr>
      </w:pPr>
      <w:r w:rsidRPr="00B2635E">
        <w:rPr>
          <w:rFonts w:ascii="Dubai Light" w:eastAsia="Times New Roman" w:hAnsi="Dubai Light" w:cs="Dubai Light" w:hint="cs"/>
          <w:sz w:val="24"/>
          <w:szCs w:val="24"/>
          <w:lang w:eastAsia="es-EC"/>
        </w:rPr>
        <w:t>El</w:t>
      </w:r>
      <w:r w:rsidR="00EA5CFC" w:rsidRPr="00B2635E">
        <w:rPr>
          <w:rFonts w:ascii="Dubai Light" w:eastAsia="Times New Roman" w:hAnsi="Dubai Light" w:cs="Dubai Light" w:hint="cs"/>
          <w:sz w:val="24"/>
          <w:szCs w:val="24"/>
          <w:lang w:eastAsia="es-EC"/>
        </w:rPr>
        <w:t xml:space="preserve"> artículo 204 de la Constitución de la República del Ecuador, determina “</w:t>
      </w:r>
      <w:r w:rsidR="00EA5CFC" w:rsidRPr="00B2635E">
        <w:rPr>
          <w:rFonts w:ascii="Dubai Light" w:eastAsia="Times New Roman" w:hAnsi="Dubai Light" w:cs="Dubai Light" w:hint="cs"/>
          <w:i/>
          <w:sz w:val="24"/>
          <w:szCs w:val="24"/>
          <w:lang w:eastAsia="es-EC"/>
        </w:rPr>
        <w:t>El pueblo es el mandante y primer fiscalizador del poder público, en ejercicio de su derecho a la participación</w:t>
      </w:r>
      <w:r w:rsidR="00EA5CFC" w:rsidRPr="00B2635E">
        <w:rPr>
          <w:rFonts w:ascii="Dubai Light" w:eastAsia="Times New Roman" w:hAnsi="Dubai Light" w:cs="Dubai Light" w:hint="cs"/>
          <w:sz w:val="24"/>
          <w:szCs w:val="24"/>
          <w:lang w:eastAsia="es-EC"/>
        </w:rPr>
        <w:t>”</w:t>
      </w:r>
    </w:p>
    <w:p w:rsidR="00EA5CFC" w:rsidRPr="00B2635E" w:rsidRDefault="00EA5CFC" w:rsidP="00EA5CFC">
      <w:pPr>
        <w:spacing w:after="0" w:line="240" w:lineRule="auto"/>
        <w:jc w:val="both"/>
        <w:rPr>
          <w:rFonts w:ascii="Dubai Light" w:eastAsia="Times New Roman" w:hAnsi="Dubai Light" w:cs="Dubai Light" w:hint="cs"/>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sz w:val="24"/>
          <w:szCs w:val="24"/>
          <w:lang w:eastAsia="es-EC"/>
        </w:rPr>
      </w:pPr>
      <w:r w:rsidRPr="00B2635E">
        <w:rPr>
          <w:rFonts w:ascii="Dubai Light" w:eastAsia="Times New Roman" w:hAnsi="Dubai Light" w:cs="Dubai Light" w:hint="cs"/>
          <w:sz w:val="24"/>
          <w:szCs w:val="24"/>
          <w:lang w:eastAsia="es-EC"/>
        </w:rPr>
        <w:t>El</w:t>
      </w:r>
      <w:r w:rsidR="00EA5CFC" w:rsidRPr="00B2635E">
        <w:rPr>
          <w:rFonts w:ascii="Dubai Light" w:eastAsia="Times New Roman" w:hAnsi="Dubai Light" w:cs="Dubai Light" w:hint="cs"/>
          <w:sz w:val="24"/>
          <w:szCs w:val="24"/>
          <w:lang w:eastAsia="es-EC"/>
        </w:rPr>
        <w:t xml:space="preserve"> numeral 2 del artículo 208 de la Constitución de la República del Ecuador señala que es obligación y atribución del Consejo de Participación Ciudadana y Control Social: “Establecer mecanismos de rendición de cuentas de las instituciones y entidades del sector público, y coadyuvar procesos de veeduría ciudadana y control </w:t>
      </w:r>
      <w:r w:rsidR="00EA5CFC" w:rsidRPr="00B2635E">
        <w:rPr>
          <w:rFonts w:ascii="Dubai Light" w:eastAsia="Times New Roman" w:hAnsi="Dubai Light" w:cs="Dubai Light" w:hint="cs"/>
          <w:i/>
          <w:sz w:val="24"/>
          <w:szCs w:val="24"/>
          <w:lang w:eastAsia="es-EC"/>
        </w:rPr>
        <w:t>social</w:t>
      </w:r>
      <w:r w:rsidR="00EA5CFC" w:rsidRPr="00B2635E">
        <w:rPr>
          <w:rFonts w:ascii="Dubai Light" w:eastAsia="Times New Roman" w:hAnsi="Dubai Light" w:cs="Dubai Light" w:hint="cs"/>
          <w:sz w:val="24"/>
          <w:szCs w:val="24"/>
          <w:lang w:eastAsia="es-EC"/>
        </w:rPr>
        <w:t xml:space="preserve">”. </w:t>
      </w:r>
    </w:p>
    <w:p w:rsidR="00EA5CFC" w:rsidRPr="00B2635E" w:rsidRDefault="00EA5CFC" w:rsidP="00EA5CFC">
      <w:pPr>
        <w:spacing w:after="0" w:line="240" w:lineRule="auto"/>
        <w:jc w:val="both"/>
        <w:rPr>
          <w:rFonts w:ascii="Dubai Light" w:eastAsia="Times New Roman" w:hAnsi="Dubai Light" w:cs="Dubai Light" w:hint="cs"/>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i/>
          <w:sz w:val="24"/>
          <w:szCs w:val="24"/>
          <w:lang w:eastAsia="es-EC"/>
        </w:rPr>
      </w:pPr>
      <w:r w:rsidRPr="00B2635E">
        <w:rPr>
          <w:rFonts w:ascii="Dubai Light" w:eastAsia="Times New Roman" w:hAnsi="Dubai Light" w:cs="Dubai Light" w:hint="cs"/>
          <w:sz w:val="24"/>
          <w:szCs w:val="24"/>
          <w:lang w:eastAsia="es-EC"/>
        </w:rPr>
        <w:t xml:space="preserve">El </w:t>
      </w:r>
      <w:r w:rsidR="00EA5CFC" w:rsidRPr="00B2635E">
        <w:rPr>
          <w:rFonts w:ascii="Dubai Light" w:eastAsia="Times New Roman" w:hAnsi="Dubai Light" w:cs="Dubai Light" w:hint="cs"/>
          <w:sz w:val="24"/>
          <w:szCs w:val="24"/>
          <w:lang w:eastAsia="es-EC"/>
        </w:rPr>
        <w:t>artículo 226 de la Constitución de la República del Ecuador, determina que “</w:t>
      </w:r>
      <w:r w:rsidR="00EA5CFC" w:rsidRPr="00B2635E">
        <w:rPr>
          <w:rFonts w:ascii="Dubai Light" w:eastAsia="Times New Roman" w:hAnsi="Dubai Light" w:cs="Dubai Light" w:hint="cs"/>
          <w:i/>
          <w:sz w:val="24"/>
          <w:szCs w:val="24"/>
          <w:lang w:eastAsia="es-EC"/>
        </w:rPr>
        <w:t xml:space="preserve">Las instituciones del Estado, sus organismos, dependencias, las servidoras o servidores públicos y las personas que actúen en virtud de una potestad estatal ejercerán solamente las </w:t>
      </w:r>
      <w:r w:rsidR="00EA5CFC" w:rsidRPr="00B2635E">
        <w:rPr>
          <w:rFonts w:ascii="Dubai Light" w:eastAsia="Times New Roman" w:hAnsi="Dubai Light" w:cs="Dubai Light" w:hint="cs"/>
          <w:i/>
          <w:sz w:val="24"/>
          <w:szCs w:val="24"/>
          <w:lang w:eastAsia="es-EC"/>
        </w:rPr>
        <w:lastRenderedPageBreak/>
        <w:t xml:space="preserve">competencias y facultades que les sean atribuidas en la Constitución y la ley. Tendrán el deber de coordinar acciones para el cumplimiento de sus fines y hacer efectivo el goce y ejercicio de los derechos reconocidos en la Constitución”. </w:t>
      </w:r>
    </w:p>
    <w:p w:rsidR="00EA5CFC" w:rsidRPr="00B2635E" w:rsidRDefault="00EA5CFC" w:rsidP="00EA5CFC">
      <w:pPr>
        <w:spacing w:after="0" w:line="240" w:lineRule="auto"/>
        <w:jc w:val="both"/>
        <w:rPr>
          <w:rFonts w:ascii="Dubai Light" w:eastAsia="Times New Roman" w:hAnsi="Dubai Light" w:cs="Dubai Light" w:hint="cs"/>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i/>
          <w:sz w:val="24"/>
          <w:szCs w:val="24"/>
          <w:lang w:eastAsia="es-EC"/>
        </w:rPr>
      </w:pPr>
      <w:r w:rsidRPr="00B2635E">
        <w:rPr>
          <w:rFonts w:ascii="Dubai Light" w:eastAsia="Times New Roman" w:hAnsi="Dubai Light" w:cs="Dubai Light" w:hint="cs"/>
          <w:sz w:val="24"/>
          <w:szCs w:val="24"/>
          <w:lang w:eastAsia="es-EC"/>
        </w:rPr>
        <w:t>El</w:t>
      </w:r>
      <w:r w:rsidR="00EA5CFC" w:rsidRPr="00B2635E">
        <w:rPr>
          <w:rFonts w:ascii="Dubai Light" w:eastAsia="Times New Roman" w:hAnsi="Dubai Light" w:cs="Dubai Light" w:hint="cs"/>
          <w:sz w:val="24"/>
          <w:szCs w:val="24"/>
          <w:lang w:eastAsia="es-EC"/>
        </w:rPr>
        <w:t xml:space="preserve"> artículo 227 de la Constitución de la República del Ecuador señala que “</w:t>
      </w:r>
      <w:r w:rsidR="00EA5CFC" w:rsidRPr="00B2635E">
        <w:rPr>
          <w:rFonts w:ascii="Dubai Light" w:eastAsia="Times New Roman" w:hAnsi="Dubai Light" w:cs="Dubai Light" w:hint="cs"/>
          <w:i/>
          <w:sz w:val="24"/>
          <w:szCs w:val="24"/>
          <w:lang w:eastAsia="es-EC"/>
        </w:rPr>
        <w:t xml:space="preserve">La administración pública constituye un servicio a la colectividad que se rige por los principios de eficacia, eficiencia, calidad, jerarquía, desconcentración, descentralización, coordinación, participación, planificación, transparencia y evaluación”. </w:t>
      </w:r>
    </w:p>
    <w:p w:rsidR="00EA5CFC" w:rsidRPr="00B2635E" w:rsidRDefault="00EA5CFC" w:rsidP="00EA5CFC">
      <w:pPr>
        <w:spacing w:after="0" w:line="240" w:lineRule="auto"/>
        <w:jc w:val="both"/>
        <w:rPr>
          <w:rFonts w:ascii="Dubai Light" w:eastAsia="Times New Roman" w:hAnsi="Dubai Light" w:cs="Dubai Light" w:hint="cs"/>
          <w:i/>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i/>
          <w:sz w:val="24"/>
          <w:szCs w:val="24"/>
          <w:lang w:eastAsia="es-EC"/>
        </w:rPr>
      </w:pPr>
      <w:r w:rsidRPr="00B2635E">
        <w:rPr>
          <w:rFonts w:ascii="Dubai Light" w:eastAsia="Times New Roman" w:hAnsi="Dubai Light" w:cs="Dubai Light" w:hint="cs"/>
          <w:sz w:val="24"/>
          <w:szCs w:val="24"/>
          <w:lang w:eastAsia="es-EC"/>
        </w:rPr>
        <w:t>El</w:t>
      </w:r>
      <w:r w:rsidR="00EA5CFC" w:rsidRPr="00B2635E">
        <w:rPr>
          <w:rFonts w:ascii="Dubai Light" w:eastAsia="Times New Roman" w:hAnsi="Dubai Light" w:cs="Dubai Light" w:hint="cs"/>
          <w:sz w:val="24"/>
          <w:szCs w:val="24"/>
          <w:lang w:eastAsia="es-EC"/>
        </w:rPr>
        <w:t xml:space="preserve"> artículo 233 de la Constitución de la República del Ecuador prescribe que “</w:t>
      </w:r>
      <w:r w:rsidR="00EA5CFC" w:rsidRPr="00B2635E">
        <w:rPr>
          <w:rFonts w:ascii="Dubai Light" w:eastAsia="Times New Roman" w:hAnsi="Dubai Light" w:cs="Dubai Light" w:hint="cs"/>
          <w:i/>
          <w:sz w:val="24"/>
          <w:szCs w:val="24"/>
          <w:lang w:eastAsia="es-EC"/>
        </w:rPr>
        <w:t>Ninguna servidora ni servidor público estará exento de responsabilidades por los actos realizados en el ejercicio de sus funciones, o por sus omisiones, y serán responsables administrativa, civil y penalmente por el manejo y administración de fondos, bienes o recursos públicos… “</w:t>
      </w:r>
    </w:p>
    <w:p w:rsidR="00EA5CFC" w:rsidRPr="00B2635E" w:rsidRDefault="00EA5CFC" w:rsidP="00EA5CFC">
      <w:pPr>
        <w:spacing w:after="0" w:line="240" w:lineRule="auto"/>
        <w:jc w:val="both"/>
        <w:rPr>
          <w:rFonts w:ascii="Dubai Light" w:eastAsia="Times New Roman" w:hAnsi="Dubai Light" w:cs="Dubai Light" w:hint="cs"/>
          <w:i/>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i/>
          <w:sz w:val="24"/>
          <w:szCs w:val="24"/>
          <w:lang w:eastAsia="es-EC"/>
        </w:rPr>
      </w:pPr>
      <w:r w:rsidRPr="00B2635E">
        <w:rPr>
          <w:rFonts w:ascii="Dubai Light" w:eastAsia="Times New Roman" w:hAnsi="Dubai Light" w:cs="Dubai Light" w:hint="cs"/>
          <w:sz w:val="24"/>
          <w:szCs w:val="24"/>
          <w:lang w:eastAsia="es-EC"/>
        </w:rPr>
        <w:t>El</w:t>
      </w:r>
      <w:r w:rsidR="00EA5CFC" w:rsidRPr="00B2635E">
        <w:rPr>
          <w:rFonts w:ascii="Dubai Light" w:eastAsia="Times New Roman" w:hAnsi="Dubai Light" w:cs="Dubai Light" w:hint="cs"/>
          <w:sz w:val="24"/>
          <w:szCs w:val="24"/>
          <w:lang w:eastAsia="es-EC"/>
        </w:rPr>
        <w:t xml:space="preserve"> artículo 88 de la Ley Orgánica de Participación Ciudadana, determina que la rendición es un derecho ciudadano y establece: “</w:t>
      </w:r>
      <w:r w:rsidR="00EA5CFC" w:rsidRPr="00B2635E">
        <w:rPr>
          <w:rFonts w:ascii="Dubai Light" w:eastAsia="Times New Roman" w:hAnsi="Dubai Light" w:cs="Dubai Light" w:hint="cs"/>
          <w:i/>
          <w:sz w:val="24"/>
          <w:szCs w:val="24"/>
          <w:lang w:eastAsia="es-EC"/>
        </w:rPr>
        <w:t>Las ciudadanas y ciudadanos, en forma individual o colectiva, comunas, comunidades, pueblos y nacionalidades indígenas, pueblos afroecuatoriano y montubio, y demás formas lícitas de organización, podrán solicitar una vez al año la rendición de cuentas a las instituciones públicas o privadas que presten servicios públicos, manejen recursos públicos o desarrollen actividades de interés público, así como a los medios de comunicación social, siempre que tal rendición de cuentas no esté contemplada mediante otro procedimiento en la Constitución y las leyes.”</w:t>
      </w:r>
    </w:p>
    <w:p w:rsidR="00EA5CFC" w:rsidRPr="00B2635E" w:rsidRDefault="00EA5CFC" w:rsidP="00EA5CFC">
      <w:pPr>
        <w:spacing w:after="0" w:line="240" w:lineRule="auto"/>
        <w:jc w:val="both"/>
        <w:rPr>
          <w:rFonts w:ascii="Dubai Light" w:eastAsia="Times New Roman" w:hAnsi="Dubai Light" w:cs="Dubai Light" w:hint="cs"/>
          <w:i/>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sz w:val="24"/>
          <w:szCs w:val="24"/>
          <w:lang w:eastAsia="es-EC"/>
        </w:rPr>
      </w:pPr>
      <w:r w:rsidRPr="00B2635E">
        <w:rPr>
          <w:rFonts w:ascii="Dubai Light" w:eastAsia="Times New Roman" w:hAnsi="Dubai Light" w:cs="Dubai Light" w:hint="cs"/>
          <w:sz w:val="24"/>
          <w:szCs w:val="24"/>
          <w:lang w:eastAsia="es-EC"/>
        </w:rPr>
        <w:t>El</w:t>
      </w:r>
      <w:r w:rsidR="00EA5CFC" w:rsidRPr="00B2635E">
        <w:rPr>
          <w:rFonts w:ascii="Dubai Light" w:eastAsia="Times New Roman" w:hAnsi="Dubai Light" w:cs="Dubai Light" w:hint="cs"/>
          <w:sz w:val="24"/>
          <w:szCs w:val="24"/>
          <w:lang w:eastAsia="es-EC"/>
        </w:rPr>
        <w:t xml:space="preserve"> artículo 89 de la Ley Orgánica de Participación Ciudadana, define a la rendición de cuentas como: “</w:t>
      </w:r>
      <w:r w:rsidR="00EA5CFC" w:rsidRPr="00B2635E">
        <w:rPr>
          <w:rFonts w:ascii="Dubai Light" w:hAnsi="Dubai Light" w:cs="Dubai Light" w:hint="cs"/>
          <w:sz w:val="24"/>
          <w:szCs w:val="24"/>
        </w:rPr>
        <w:t>…</w:t>
      </w:r>
      <w:r w:rsidR="00EA5CFC" w:rsidRPr="00B2635E">
        <w:rPr>
          <w:rFonts w:ascii="Dubai Light" w:hAnsi="Dubai Light" w:cs="Dubai Light" w:hint="cs"/>
          <w:i/>
          <w:sz w:val="24"/>
          <w:szCs w:val="24"/>
        </w:rPr>
        <w:t>un proceso sistemático, deliberado, interactivo y universal, que involucra a autoridades, funcionarias y funcionarios o sus representantes y representantes legales, según sea el caso, que estén obligadas u obligados a informar y someterse a evaluación de la ciudadanía por las acciones u omisiones en el ejercicio de su gestión y en la administración de recursos públicos.</w:t>
      </w:r>
      <w:r w:rsidR="00EA5CFC" w:rsidRPr="00B2635E">
        <w:rPr>
          <w:rFonts w:ascii="Dubai Light" w:eastAsia="Times New Roman" w:hAnsi="Dubai Light" w:cs="Dubai Light" w:hint="cs"/>
          <w:i/>
          <w:sz w:val="24"/>
          <w:szCs w:val="24"/>
          <w:lang w:eastAsia="es-EC"/>
        </w:rPr>
        <w:t>”</w:t>
      </w:r>
    </w:p>
    <w:p w:rsidR="00EA5CFC" w:rsidRPr="00B2635E" w:rsidRDefault="00EA5CFC" w:rsidP="00EA5CFC">
      <w:pPr>
        <w:spacing w:after="0" w:line="240" w:lineRule="auto"/>
        <w:rPr>
          <w:rFonts w:ascii="Dubai Light" w:eastAsia="Times New Roman" w:hAnsi="Dubai Light" w:cs="Dubai Light" w:hint="cs"/>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i/>
          <w:sz w:val="24"/>
          <w:szCs w:val="24"/>
          <w:lang w:eastAsia="es-EC"/>
        </w:rPr>
      </w:pPr>
      <w:r w:rsidRPr="00B2635E">
        <w:rPr>
          <w:rFonts w:ascii="Dubai Light" w:eastAsia="Times New Roman" w:hAnsi="Dubai Light" w:cs="Dubai Light" w:hint="cs"/>
          <w:sz w:val="24"/>
          <w:szCs w:val="24"/>
          <w:lang w:eastAsia="es-EC"/>
        </w:rPr>
        <w:t>El</w:t>
      </w:r>
      <w:r w:rsidR="00EA5CFC" w:rsidRPr="00B2635E">
        <w:rPr>
          <w:rFonts w:ascii="Dubai Light" w:eastAsia="Times New Roman" w:hAnsi="Dubai Light" w:cs="Dubai Light" w:hint="cs"/>
          <w:sz w:val="24"/>
          <w:szCs w:val="24"/>
          <w:lang w:eastAsia="es-EC"/>
        </w:rPr>
        <w:t xml:space="preserve"> artículo 90 de la Ley Orgánica de Participación Ciudadana, en relación a los sujetos obligados determina que: “</w:t>
      </w:r>
      <w:r w:rsidR="00EA5CFC" w:rsidRPr="00B2635E">
        <w:rPr>
          <w:rFonts w:ascii="Dubai Light" w:hAnsi="Dubai Light" w:cs="Dubai Light" w:hint="cs"/>
          <w:i/>
          <w:sz w:val="24"/>
          <w:szCs w:val="24"/>
        </w:rPr>
        <w:t xml:space="preserve">Las autoridades del Estado, electas o de libre remoción, </w:t>
      </w:r>
      <w:r w:rsidR="00EA5CFC" w:rsidRPr="00B2635E">
        <w:rPr>
          <w:rFonts w:ascii="Dubai Light" w:hAnsi="Dubai Light" w:cs="Dubai Light" w:hint="cs"/>
          <w:i/>
          <w:sz w:val="24"/>
          <w:szCs w:val="24"/>
        </w:rPr>
        <w:lastRenderedPageBreak/>
        <w:t>representantes legales de las empresas públicas o personas jurídicas del sector privado que manejen fondos públicos o desarrollen actividades de interés público, los medios de comunicación social, a través de sus representantes legales, están obligados a rendir cuentas, sin perjuicio de las responsabilidades que tienen las servidoras y los servidores públicos sobre sus actos y omisiones. En caso de incumplimiento de dicha obligación, se procederá de conformidad con la Ley Orgánica del Consejo de Participación Ciudadana y Control Social.</w:t>
      </w:r>
      <w:r w:rsidR="00EA5CFC" w:rsidRPr="00B2635E">
        <w:rPr>
          <w:rFonts w:ascii="Dubai Light" w:eastAsia="Times New Roman" w:hAnsi="Dubai Light" w:cs="Dubai Light" w:hint="cs"/>
          <w:i/>
          <w:sz w:val="24"/>
          <w:szCs w:val="24"/>
          <w:lang w:eastAsia="es-EC"/>
        </w:rPr>
        <w:t>”</w:t>
      </w:r>
    </w:p>
    <w:p w:rsidR="00EA5CFC" w:rsidRPr="00B2635E" w:rsidRDefault="00EA5CFC" w:rsidP="00EA5CFC">
      <w:pPr>
        <w:spacing w:after="0" w:line="240" w:lineRule="auto"/>
        <w:jc w:val="both"/>
        <w:rPr>
          <w:rFonts w:ascii="Dubai Light" w:eastAsia="Times New Roman" w:hAnsi="Dubai Light" w:cs="Dubai Light" w:hint="cs"/>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sz w:val="24"/>
          <w:szCs w:val="24"/>
          <w:lang w:eastAsia="es-EC"/>
        </w:rPr>
      </w:pPr>
      <w:r w:rsidRPr="00B2635E">
        <w:rPr>
          <w:rFonts w:ascii="Dubai Light" w:eastAsia="Times New Roman" w:hAnsi="Dubai Light" w:cs="Dubai Light" w:hint="cs"/>
          <w:sz w:val="24"/>
          <w:szCs w:val="24"/>
          <w:lang w:eastAsia="es-EC"/>
        </w:rPr>
        <w:t>Mediante</w:t>
      </w:r>
      <w:r w:rsidR="00EA5CFC" w:rsidRPr="00B2635E">
        <w:rPr>
          <w:rFonts w:ascii="Dubai Light" w:eastAsia="Times New Roman" w:hAnsi="Dubai Light" w:cs="Dubai Light" w:hint="cs"/>
          <w:sz w:val="24"/>
          <w:szCs w:val="24"/>
          <w:lang w:eastAsia="es-EC"/>
        </w:rPr>
        <w:t xml:space="preserve"> Decreto Ejecuto Nro. 805, de 22 de octubre de 2015, publicado en el Registro Oficial Nro. 635 de 25 de noviembre de 2015, el Señor Economista Rafael Correa Delgado, Presidente de la República, en su Art.1 dispone: “</w:t>
      </w:r>
      <w:r w:rsidR="00EA5CFC" w:rsidRPr="00B2635E">
        <w:rPr>
          <w:rFonts w:ascii="Dubai Light" w:eastAsia="Times New Roman" w:hAnsi="Dubai Light" w:cs="Dubai Light" w:hint="cs"/>
          <w:i/>
          <w:sz w:val="24"/>
          <w:szCs w:val="24"/>
          <w:lang w:eastAsia="es-EC"/>
        </w:rPr>
        <w:t>Créase el Servicio Público para Pago de Accidentes de Tránsito, SPPAT, orientado a garantizar la protección de las personas que se trasladan de un lugar a otro a través de la red vial del Ecuador por parte del Sistema Público para Pago de Accidentes de Tránsito, servicio que estará adscrito al Ministerio de Transportes y Obras Públicas</w:t>
      </w:r>
      <w:r w:rsidR="00EA5CFC" w:rsidRPr="00B2635E">
        <w:rPr>
          <w:rFonts w:ascii="Dubai Light" w:eastAsia="Times New Roman" w:hAnsi="Dubai Light" w:cs="Dubai Light" w:hint="cs"/>
          <w:sz w:val="24"/>
          <w:szCs w:val="24"/>
          <w:lang w:eastAsia="es-EC"/>
        </w:rPr>
        <w:t>..”</w:t>
      </w:r>
    </w:p>
    <w:p w:rsidR="00EA5CFC" w:rsidRPr="00B2635E" w:rsidRDefault="00EA5CFC" w:rsidP="00EA5CFC">
      <w:pPr>
        <w:spacing w:after="0" w:line="240" w:lineRule="auto"/>
        <w:rPr>
          <w:rFonts w:ascii="Dubai Light" w:eastAsia="Times New Roman" w:hAnsi="Dubai Light" w:cs="Dubai Light" w:hint="cs"/>
          <w:sz w:val="24"/>
          <w:szCs w:val="24"/>
          <w:lang w:eastAsia="es-EC"/>
        </w:rPr>
      </w:pPr>
    </w:p>
    <w:p w:rsidR="00EA5CFC" w:rsidRPr="00B2635E" w:rsidRDefault="00690388" w:rsidP="00EA5CFC">
      <w:pPr>
        <w:spacing w:after="0" w:line="240" w:lineRule="auto"/>
        <w:jc w:val="both"/>
        <w:rPr>
          <w:rFonts w:ascii="Dubai Light" w:eastAsia="Times New Roman" w:hAnsi="Dubai Light" w:cs="Dubai Light" w:hint="cs"/>
          <w:sz w:val="24"/>
          <w:szCs w:val="24"/>
          <w:lang w:eastAsia="es-EC"/>
        </w:rPr>
      </w:pPr>
      <w:r w:rsidRPr="00B2635E">
        <w:rPr>
          <w:rFonts w:ascii="Dubai Light" w:eastAsia="Times New Roman" w:hAnsi="Dubai Light" w:cs="Dubai Light" w:hint="cs"/>
          <w:sz w:val="24"/>
          <w:szCs w:val="24"/>
          <w:lang w:eastAsia="es-EC"/>
        </w:rPr>
        <w:t xml:space="preserve">El SPPAT entró en funcionamiento el 22 de enero de 2016 para proteger de manera económica a cualquier ciudadano sea conductor, pasajero o peatón que sufra lesiones o falleciere debido a un </w:t>
      </w:r>
      <w:r w:rsidR="005442BE" w:rsidRPr="00B2635E">
        <w:rPr>
          <w:rFonts w:ascii="Dubai Light" w:eastAsia="Times New Roman" w:hAnsi="Dubai Light" w:cs="Dubai Light" w:hint="cs"/>
          <w:sz w:val="24"/>
          <w:szCs w:val="24"/>
          <w:lang w:eastAsia="es-EC"/>
        </w:rPr>
        <w:t>siniestro</w:t>
      </w:r>
      <w:r w:rsidRPr="00B2635E">
        <w:rPr>
          <w:rFonts w:ascii="Dubai Light" w:eastAsia="Times New Roman" w:hAnsi="Dubai Light" w:cs="Dubai Light" w:hint="cs"/>
          <w:sz w:val="24"/>
          <w:szCs w:val="24"/>
          <w:lang w:eastAsia="es-EC"/>
        </w:rPr>
        <w:t xml:space="preserve"> vehicular en el Ecuador. </w:t>
      </w:r>
    </w:p>
    <w:p w:rsidR="00EA5CFC" w:rsidRPr="00B2635E" w:rsidRDefault="00EA5CFC" w:rsidP="00EA5CFC">
      <w:pPr>
        <w:spacing w:after="160" w:line="259" w:lineRule="auto"/>
        <w:jc w:val="both"/>
        <w:rPr>
          <w:rFonts w:ascii="Dubai Light" w:hAnsi="Dubai Light" w:cs="Dubai Light" w:hint="cs"/>
          <w:b/>
          <w:sz w:val="24"/>
          <w:szCs w:val="24"/>
        </w:rPr>
      </w:pPr>
    </w:p>
    <w:p w:rsidR="00EA5CFC" w:rsidRPr="00B2635E" w:rsidRDefault="00915B7B" w:rsidP="00551C0D">
      <w:pPr>
        <w:pStyle w:val="Prrafodelista"/>
        <w:numPr>
          <w:ilvl w:val="0"/>
          <w:numId w:val="17"/>
        </w:num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GESTIÓN DE ASESORÍA JURÍDICA</w:t>
      </w:r>
    </w:p>
    <w:p w:rsidR="00915B7B" w:rsidRPr="00B2635E" w:rsidRDefault="00915B7B" w:rsidP="00EA5CFC">
      <w:pPr>
        <w:spacing w:after="160" w:line="259" w:lineRule="auto"/>
        <w:jc w:val="both"/>
        <w:rPr>
          <w:rFonts w:ascii="Dubai Light" w:hAnsi="Dubai Light" w:cs="Dubai Light" w:hint="cs"/>
          <w:b/>
          <w:sz w:val="24"/>
          <w:szCs w:val="24"/>
          <w:u w:val="single"/>
        </w:rPr>
      </w:pPr>
    </w:p>
    <w:p w:rsidR="00915B7B" w:rsidRPr="00B2635E" w:rsidRDefault="00F303EE" w:rsidP="00EA5CFC">
      <w:pPr>
        <w:spacing w:after="160" w:line="259" w:lineRule="auto"/>
        <w:jc w:val="both"/>
        <w:rPr>
          <w:rFonts w:ascii="Dubai Light" w:hAnsi="Dubai Light" w:cs="Dubai Light" w:hint="cs"/>
          <w:b/>
          <w:sz w:val="24"/>
          <w:szCs w:val="24"/>
        </w:rPr>
      </w:pPr>
      <w:r w:rsidRPr="00B2635E">
        <w:rPr>
          <w:rFonts w:ascii="Dubai Light" w:hAnsi="Dubai Light" w:cs="Dubai Light" w:hint="cs"/>
          <w:b/>
          <w:sz w:val="24"/>
          <w:szCs w:val="24"/>
        </w:rPr>
        <w:t>RESOLUCIONES</w:t>
      </w:r>
    </w:p>
    <w:p w:rsidR="00EA5CFC" w:rsidRPr="00B2635E" w:rsidRDefault="00915B7B" w:rsidP="00EA5CFC">
      <w:p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Durante el periodo enero – diciembre de 2018 se emitieron las siguientes resoluciones:</w:t>
      </w:r>
    </w:p>
    <w:p w:rsidR="00AA04C4" w:rsidRPr="00B2635E" w:rsidRDefault="00EA5CFC" w:rsidP="00AA04C4">
      <w:pPr>
        <w:pStyle w:val="Prrafodelista"/>
        <w:numPr>
          <w:ilvl w:val="0"/>
          <w:numId w:val="38"/>
        </w:numPr>
        <w:shd w:val="clear" w:color="auto" w:fill="FFFFFF"/>
        <w:spacing w:after="0" w:line="235" w:lineRule="atLeast"/>
        <w:jc w:val="both"/>
        <w:rPr>
          <w:rFonts w:ascii="Dubai Light" w:eastAsia="Times New Roman" w:hAnsi="Dubai Light" w:cs="Dubai Light" w:hint="cs"/>
          <w:color w:val="000000"/>
          <w:lang w:eastAsia="es-EC"/>
        </w:rPr>
      </w:pPr>
      <w:r w:rsidRPr="00B2635E">
        <w:rPr>
          <w:rFonts w:ascii="Dubai Light" w:hAnsi="Dubai Light" w:cs="Dubai Light" w:hint="cs"/>
          <w:sz w:val="24"/>
          <w:szCs w:val="24"/>
        </w:rPr>
        <w:t>Resolución de Directorio N° 01-D-SPPAT-2018, Reforma a la Resolución de Directorio SPPAT número 002 emitida el 11 de mayo de 2016.</w:t>
      </w:r>
      <w:r w:rsidR="00915B7B" w:rsidRPr="00B2635E">
        <w:rPr>
          <w:rFonts w:ascii="Dubai Light" w:hAnsi="Dubai Light" w:cs="Dubai Light" w:hint="cs"/>
          <w:sz w:val="24"/>
          <w:szCs w:val="24"/>
        </w:rPr>
        <w:t xml:space="preserve"> </w:t>
      </w:r>
      <w:r w:rsidR="00AA04C4" w:rsidRPr="00B2635E">
        <w:rPr>
          <w:rFonts w:ascii="Dubai Light" w:hAnsi="Dubai Light" w:cs="Dubai Light" w:hint="cs"/>
          <w:sz w:val="24"/>
          <w:szCs w:val="24"/>
        </w:rPr>
        <w:t xml:space="preserve"> </w:t>
      </w:r>
      <w:r w:rsidR="003C26AF" w:rsidRPr="00B2635E">
        <w:rPr>
          <w:rFonts w:ascii="Dubai Light" w:eastAsia="Times New Roman" w:hAnsi="Dubai Light" w:cs="Dubai Light" w:hint="cs"/>
          <w:color w:val="000000"/>
          <w:sz w:val="24"/>
          <w:szCs w:val="24"/>
          <w:lang w:eastAsia="es-EC"/>
        </w:rPr>
        <w:t>Se hace referencia a</w:t>
      </w:r>
      <w:r w:rsidR="00AA04C4" w:rsidRPr="00B2635E">
        <w:rPr>
          <w:rFonts w:ascii="Dubai Light" w:eastAsia="Times New Roman" w:hAnsi="Dubai Light" w:cs="Dubai Light" w:hint="cs"/>
          <w:color w:val="000000"/>
          <w:sz w:val="24"/>
          <w:szCs w:val="24"/>
          <w:lang w:eastAsia="es-EC"/>
        </w:rPr>
        <w:t xml:space="preserve"> las exclusiones aplicables al SPPAT, quedando únicamente como tales dos excepciones.</w:t>
      </w:r>
    </w:p>
    <w:p w:rsidR="00915B7B" w:rsidRPr="00B2635E" w:rsidRDefault="00AA04C4" w:rsidP="00AA04C4">
      <w:pPr>
        <w:pStyle w:val="Prrafodelista"/>
        <w:shd w:val="clear" w:color="auto" w:fill="FFFFFF"/>
        <w:spacing w:after="0" w:line="235" w:lineRule="atLeast"/>
        <w:jc w:val="both"/>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sz w:val="24"/>
          <w:szCs w:val="24"/>
          <w:lang w:eastAsia="es-EC"/>
        </w:rPr>
        <w:t>Se puntualizan, además, los casos en los que se exonerará la Tasa SPPAT, sus multas y recargos, previo al cumplimiento de requisitos.   </w:t>
      </w:r>
    </w:p>
    <w:p w:rsidR="00AA04C4" w:rsidRPr="00B2635E" w:rsidRDefault="00AA04C4" w:rsidP="00AA04C4">
      <w:pPr>
        <w:spacing w:after="160" w:line="259" w:lineRule="auto"/>
        <w:jc w:val="both"/>
        <w:rPr>
          <w:rFonts w:ascii="Dubai Light" w:hAnsi="Dubai Light" w:cs="Dubai Light" w:hint="cs"/>
          <w:sz w:val="24"/>
          <w:szCs w:val="24"/>
        </w:rPr>
      </w:pPr>
    </w:p>
    <w:p w:rsidR="00AA04C4" w:rsidRPr="00B2635E" w:rsidRDefault="00EA5CFC" w:rsidP="00AA04C4">
      <w:pPr>
        <w:pStyle w:val="Prrafodelista"/>
        <w:numPr>
          <w:ilvl w:val="0"/>
          <w:numId w:val="10"/>
        </w:numPr>
        <w:spacing w:after="160" w:line="259" w:lineRule="auto"/>
        <w:jc w:val="both"/>
        <w:rPr>
          <w:rFonts w:ascii="Dubai Light" w:hAnsi="Dubai Light" w:cs="Dubai Light" w:hint="cs"/>
          <w:b/>
          <w:sz w:val="24"/>
          <w:szCs w:val="24"/>
          <w:u w:val="single"/>
        </w:rPr>
      </w:pPr>
      <w:r w:rsidRPr="00B2635E">
        <w:rPr>
          <w:rFonts w:ascii="Dubai Light" w:hAnsi="Dubai Light" w:cs="Dubai Light" w:hint="cs"/>
          <w:sz w:val="24"/>
          <w:szCs w:val="24"/>
        </w:rPr>
        <w:lastRenderedPageBreak/>
        <w:t>Resolución de Directorio N° 02-D-SPPAT-2018, Reforma a la Resolución de Directorio SPPAT número 002 emitida el 11 de mayo de 2016.</w:t>
      </w:r>
      <w:r w:rsidR="00915B7B" w:rsidRPr="00B2635E">
        <w:rPr>
          <w:rFonts w:ascii="Dubai Light" w:hAnsi="Dubai Light" w:cs="Dubai Light" w:hint="cs"/>
          <w:sz w:val="24"/>
          <w:szCs w:val="24"/>
        </w:rPr>
        <w:t xml:space="preserve"> </w:t>
      </w:r>
      <w:r w:rsidR="003C26AF" w:rsidRPr="00B2635E">
        <w:rPr>
          <w:rFonts w:ascii="Dubai Light" w:eastAsia="Times New Roman" w:hAnsi="Dubai Light" w:cs="Dubai Light" w:hint="cs"/>
          <w:color w:val="000000"/>
          <w:sz w:val="24"/>
          <w:szCs w:val="24"/>
          <w:lang w:eastAsia="es-EC"/>
        </w:rPr>
        <w:t>Referente</w:t>
      </w:r>
      <w:r w:rsidR="00AA04C4" w:rsidRPr="00B2635E">
        <w:rPr>
          <w:rFonts w:ascii="Dubai Light" w:eastAsia="Times New Roman" w:hAnsi="Dubai Light" w:cs="Dubai Light" w:hint="cs"/>
          <w:color w:val="000000"/>
          <w:sz w:val="24"/>
          <w:szCs w:val="24"/>
          <w:lang w:eastAsia="es-EC"/>
        </w:rPr>
        <w:t xml:space="preserve"> a los requisitos de las protecciones que brinda el SPPAT por Servicios Médicos y Servicios Prehospitalarios, toda vez que se elimina el Formulario Único de Reclamación (FUR).  </w:t>
      </w:r>
    </w:p>
    <w:p w:rsidR="00AA04C4" w:rsidRPr="00B2635E" w:rsidRDefault="00AA04C4" w:rsidP="00EA5CFC">
      <w:pPr>
        <w:spacing w:after="160" w:line="259" w:lineRule="auto"/>
        <w:jc w:val="both"/>
        <w:rPr>
          <w:rFonts w:ascii="Dubai Light" w:hAnsi="Dubai Light" w:cs="Dubai Light" w:hint="cs"/>
          <w:b/>
          <w:sz w:val="24"/>
          <w:szCs w:val="24"/>
          <w:u w:val="single"/>
        </w:rPr>
      </w:pPr>
    </w:p>
    <w:p w:rsidR="00EA5CFC" w:rsidRPr="00B2635E" w:rsidRDefault="00F303EE" w:rsidP="00915B7B">
      <w:pPr>
        <w:spacing w:after="160" w:line="259" w:lineRule="auto"/>
        <w:jc w:val="both"/>
        <w:rPr>
          <w:rFonts w:ascii="Dubai Light" w:hAnsi="Dubai Light" w:cs="Dubai Light" w:hint="cs"/>
          <w:b/>
          <w:sz w:val="24"/>
          <w:szCs w:val="24"/>
        </w:rPr>
      </w:pPr>
      <w:r w:rsidRPr="00B2635E">
        <w:rPr>
          <w:rFonts w:ascii="Dubai Light" w:hAnsi="Dubai Light" w:cs="Dubai Light" w:hint="cs"/>
          <w:b/>
          <w:sz w:val="24"/>
          <w:szCs w:val="24"/>
        </w:rPr>
        <w:t>EXPEDIENTES POR FALLECIMIENTO</w:t>
      </w:r>
    </w:p>
    <w:p w:rsidR="00EA5CFC" w:rsidRPr="00B2635E" w:rsidRDefault="00B618B1" w:rsidP="00EA5CFC">
      <w:p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Análisis, determinación de beneficiarios y aprobación de expedientes presentados para reclamo de la protección por fallecimiento de víctimas en siniestros de tránsito</w:t>
      </w:r>
      <w:r w:rsidR="00EA5CFC" w:rsidRPr="00B2635E">
        <w:rPr>
          <w:rFonts w:ascii="Dubai Light" w:hAnsi="Dubai Light" w:cs="Dubai Light" w:hint="cs"/>
          <w:sz w:val="24"/>
          <w:szCs w:val="24"/>
        </w:rPr>
        <w:t xml:space="preserve"> durante el periodo 2018. </w:t>
      </w:r>
    </w:p>
    <w:p w:rsidR="00F929CD" w:rsidRPr="00B2635E" w:rsidRDefault="00F929CD" w:rsidP="007D7F95">
      <w:pPr>
        <w:spacing w:after="160" w:line="259" w:lineRule="auto"/>
        <w:jc w:val="both"/>
        <w:rPr>
          <w:rFonts w:ascii="Dubai Light" w:hAnsi="Dubai Light" w:cs="Dubai Light" w:hint="cs"/>
          <w:b/>
          <w:sz w:val="24"/>
          <w:szCs w:val="24"/>
        </w:rPr>
      </w:pPr>
    </w:p>
    <w:p w:rsidR="00EA5CFC" w:rsidRPr="00B2635E" w:rsidRDefault="00F303EE" w:rsidP="007D7F95">
      <w:pPr>
        <w:spacing w:after="160" w:line="259" w:lineRule="auto"/>
        <w:jc w:val="both"/>
        <w:rPr>
          <w:rFonts w:ascii="Dubai Light" w:hAnsi="Dubai Light" w:cs="Dubai Light" w:hint="cs"/>
          <w:b/>
          <w:sz w:val="24"/>
          <w:szCs w:val="24"/>
        </w:rPr>
      </w:pPr>
      <w:r w:rsidRPr="00B2635E">
        <w:rPr>
          <w:rFonts w:ascii="Dubai Light" w:hAnsi="Dubai Light" w:cs="Dubai Light" w:hint="cs"/>
          <w:b/>
          <w:sz w:val="24"/>
          <w:szCs w:val="24"/>
        </w:rPr>
        <w:t>CONVENIOS</w:t>
      </w:r>
    </w:p>
    <w:p w:rsidR="00EA5CFC" w:rsidRPr="00B2635E" w:rsidRDefault="00EA5CFC" w:rsidP="00551B14">
      <w:pPr>
        <w:jc w:val="both"/>
        <w:rPr>
          <w:rFonts w:ascii="Dubai Light" w:hAnsi="Dubai Light" w:cs="Dubai Light" w:hint="cs"/>
          <w:sz w:val="24"/>
          <w:szCs w:val="24"/>
        </w:rPr>
      </w:pPr>
      <w:r w:rsidRPr="00B2635E">
        <w:rPr>
          <w:rFonts w:ascii="Dubai Light" w:hAnsi="Dubai Light" w:cs="Dubai Light" w:hint="cs"/>
          <w:sz w:val="24"/>
          <w:szCs w:val="24"/>
        </w:rPr>
        <w:t>Convenio de Cooperación Interinstitucional Nro. 10 063, entre el Ministerio de Industrias y Productividad (MIPRO) y el Fondo de Seguro Obligatorio de Accidentes de Tránsito (FONSAT)</w:t>
      </w:r>
    </w:p>
    <w:p w:rsidR="00EA5CFC" w:rsidRPr="00B2635E" w:rsidRDefault="00EA5CFC" w:rsidP="00EA5CFC">
      <w:pPr>
        <w:pStyle w:val="Prrafodelista"/>
        <w:numPr>
          <w:ilvl w:val="0"/>
          <w:numId w:val="12"/>
        </w:numPr>
        <w:jc w:val="both"/>
        <w:rPr>
          <w:rFonts w:ascii="Dubai Light" w:hAnsi="Dubai Light" w:cs="Dubai Light" w:hint="cs"/>
          <w:sz w:val="24"/>
          <w:szCs w:val="24"/>
        </w:rPr>
      </w:pPr>
      <w:r w:rsidRPr="00B2635E">
        <w:rPr>
          <w:rFonts w:ascii="Dubai Light" w:hAnsi="Dubai Light" w:cs="Dubai Light" w:hint="cs"/>
          <w:sz w:val="24"/>
          <w:szCs w:val="24"/>
        </w:rPr>
        <w:t>Informe de cierre sobre el Convenio de Cooperación Interinstitucional Nro. 10 063, entre el Ministerio de Industrias y Productividad (MIPRO) y el Fondo de Seguro Obligatorio de Accidentes de Tránsito (FONSAT)</w:t>
      </w:r>
    </w:p>
    <w:p w:rsidR="00EA5CFC" w:rsidRPr="00B2635E" w:rsidRDefault="00EA5CFC" w:rsidP="00EA5CFC">
      <w:pPr>
        <w:pStyle w:val="Prrafodelista"/>
        <w:numPr>
          <w:ilvl w:val="0"/>
          <w:numId w:val="12"/>
        </w:numPr>
        <w:jc w:val="both"/>
        <w:rPr>
          <w:rFonts w:ascii="Dubai Light" w:hAnsi="Dubai Light" w:cs="Dubai Light" w:hint="cs"/>
          <w:sz w:val="24"/>
          <w:szCs w:val="24"/>
        </w:rPr>
      </w:pPr>
      <w:r w:rsidRPr="00B2635E">
        <w:rPr>
          <w:rFonts w:ascii="Dubai Light" w:hAnsi="Dubai Light" w:cs="Dubai Light" w:hint="cs"/>
          <w:sz w:val="24"/>
          <w:szCs w:val="24"/>
        </w:rPr>
        <w:t>Acta de finiquito del convenio de cooperación interinst</w:t>
      </w:r>
      <w:r w:rsidR="002136BD" w:rsidRPr="00B2635E">
        <w:rPr>
          <w:rFonts w:ascii="Dubai Light" w:hAnsi="Dubai Light" w:cs="Dubai Light" w:hint="cs"/>
          <w:sz w:val="24"/>
          <w:szCs w:val="24"/>
        </w:rPr>
        <w:t>itu</w:t>
      </w:r>
      <w:r w:rsidRPr="00B2635E">
        <w:rPr>
          <w:rFonts w:ascii="Dubai Light" w:hAnsi="Dubai Light" w:cs="Dubai Light" w:hint="cs"/>
          <w:sz w:val="24"/>
          <w:szCs w:val="24"/>
        </w:rPr>
        <w:t>cional Nro. 10 063 entre el Ministerio de Industrias y Productividad (MIPRO) y el Fondo de Seguro Obligatorio de Accidentes de Tránsito (FONSAT)</w:t>
      </w:r>
    </w:p>
    <w:p w:rsidR="00F929CD" w:rsidRPr="00B2635E" w:rsidRDefault="00F929CD" w:rsidP="00F929CD">
      <w:pPr>
        <w:jc w:val="both"/>
        <w:rPr>
          <w:rFonts w:ascii="Dubai Light" w:hAnsi="Dubai Light" w:cs="Dubai Light" w:hint="cs"/>
          <w:sz w:val="24"/>
          <w:szCs w:val="24"/>
        </w:rPr>
      </w:pPr>
    </w:p>
    <w:p w:rsidR="00EA5CFC" w:rsidRPr="00B2635E" w:rsidRDefault="00D5195B" w:rsidP="008B4AF8">
      <w:pPr>
        <w:spacing w:after="160" w:line="259" w:lineRule="auto"/>
        <w:jc w:val="both"/>
        <w:rPr>
          <w:rFonts w:ascii="Dubai Light" w:hAnsi="Dubai Light" w:cs="Dubai Light" w:hint="cs"/>
          <w:sz w:val="24"/>
          <w:szCs w:val="24"/>
        </w:rPr>
      </w:pPr>
      <w:r w:rsidRPr="00B2635E">
        <w:rPr>
          <w:rFonts w:ascii="Dubai Light" w:hAnsi="Dubai Light" w:cs="Dubai Light" w:hint="cs"/>
          <w:b/>
          <w:sz w:val="24"/>
          <w:szCs w:val="24"/>
        </w:rPr>
        <w:t>Gestión de Contratación Pública</w:t>
      </w:r>
    </w:p>
    <w:p w:rsidR="00EA5CFC" w:rsidRPr="00B2635E" w:rsidRDefault="00EA5CFC" w:rsidP="00EA5CFC">
      <w:p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Proceso N° RE-001-SPPAT-2018</w:t>
      </w:r>
    </w:p>
    <w:p w:rsidR="00EA5CFC" w:rsidRPr="00B2635E" w:rsidRDefault="00EA5CFC" w:rsidP="00EA5CFC">
      <w:pPr>
        <w:spacing w:after="0" w:line="240" w:lineRule="auto"/>
        <w:jc w:val="both"/>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24"/>
          <w:szCs w:val="24"/>
          <w:lang w:eastAsia="es-EC"/>
        </w:rPr>
        <w:lastRenderedPageBreak/>
        <w:t>“SERVICIO CORPORATIVO EMS EXPRESS MAIL SERVICE DE CORREOS DEL ECUADOR PARA EL PERIODO 2018-2019 DEL SERVICIO PÚBLICO PARA PAGO DE ACCIDENTES DE TRÁNSITO”</w:t>
      </w:r>
    </w:p>
    <w:p w:rsidR="00EA5CFC" w:rsidRPr="00B2635E" w:rsidRDefault="00EA5CFC" w:rsidP="00EA5CFC">
      <w:pPr>
        <w:spacing w:after="0" w:line="240" w:lineRule="auto"/>
        <w:jc w:val="both"/>
        <w:rPr>
          <w:rFonts w:ascii="Dubai Light" w:eastAsia="Times New Roman" w:hAnsi="Dubai Light" w:cs="Dubai Light" w:hint="cs"/>
          <w:color w:val="000000"/>
          <w:sz w:val="24"/>
          <w:szCs w:val="24"/>
          <w:lang w:eastAsia="es-EC"/>
        </w:rPr>
      </w:pPr>
    </w:p>
    <w:p w:rsidR="00EA5CFC" w:rsidRPr="00B2635E" w:rsidRDefault="008B4AF8" w:rsidP="00EA5CFC">
      <w:pPr>
        <w:spacing w:after="160" w:line="259" w:lineRule="auto"/>
        <w:jc w:val="both"/>
        <w:rPr>
          <w:rFonts w:ascii="Dubai Light" w:hAnsi="Dubai Light" w:cs="Dubai Light" w:hint="cs"/>
          <w:b/>
          <w:sz w:val="24"/>
          <w:szCs w:val="24"/>
        </w:rPr>
      </w:pPr>
      <w:r w:rsidRPr="00B2635E">
        <w:rPr>
          <w:rFonts w:ascii="Dubai Light" w:hAnsi="Dubai Light" w:cs="Dubai Light" w:hint="cs"/>
          <w:b/>
          <w:sz w:val="24"/>
          <w:szCs w:val="24"/>
        </w:rPr>
        <w:t xml:space="preserve">Entregables </w:t>
      </w:r>
    </w:p>
    <w:p w:rsidR="00EA5CFC" w:rsidRPr="00B2635E" w:rsidRDefault="00EA5CFC" w:rsidP="00EA5CFC">
      <w:pPr>
        <w:pStyle w:val="Prrafodelista"/>
        <w:numPr>
          <w:ilvl w:val="0"/>
          <w:numId w:val="9"/>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Resolución de Inicio y Aprobación de Pliegos N° 009-DE-RI-SPPAT-2018-04</w:t>
      </w:r>
    </w:p>
    <w:p w:rsidR="00EA5CFC" w:rsidRPr="00B2635E" w:rsidRDefault="00EA5CFC" w:rsidP="00EA5CFC">
      <w:pPr>
        <w:pStyle w:val="Prrafodelista"/>
        <w:numPr>
          <w:ilvl w:val="0"/>
          <w:numId w:val="9"/>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Resolución de Adjudicación N° 011-DE-RA-SPPAT-2018</w:t>
      </w:r>
    </w:p>
    <w:p w:rsidR="00EA5CFC" w:rsidRPr="00B2635E" w:rsidRDefault="00EA5CFC" w:rsidP="00EA5CFC">
      <w:pPr>
        <w:pStyle w:val="Prrafodelista"/>
        <w:numPr>
          <w:ilvl w:val="0"/>
          <w:numId w:val="9"/>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Contrato</w:t>
      </w:r>
    </w:p>
    <w:p w:rsidR="00EA5CFC" w:rsidRPr="00B2635E" w:rsidRDefault="00EA5CFC" w:rsidP="00EA5CFC">
      <w:p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Proceso N° RE-003-SPPAT-2018</w:t>
      </w:r>
    </w:p>
    <w:p w:rsidR="00EA5CFC" w:rsidRPr="00B2635E" w:rsidRDefault="00EA5CFC" w:rsidP="00EA5CFC">
      <w:pPr>
        <w:jc w:val="both"/>
        <w:rPr>
          <w:rFonts w:ascii="Dubai Light" w:hAnsi="Dubai Light" w:cs="Dubai Light" w:hint="cs"/>
          <w:sz w:val="24"/>
          <w:szCs w:val="24"/>
        </w:rPr>
      </w:pPr>
      <w:r w:rsidRPr="00B2635E">
        <w:rPr>
          <w:rFonts w:ascii="Dubai Light" w:hAnsi="Dubai Light" w:cs="Dubai Light" w:hint="cs"/>
          <w:sz w:val="24"/>
          <w:szCs w:val="24"/>
        </w:rPr>
        <w:t>“SERVICIO DE INTERNET CON LA EMPRESA CNT EP EN LA CIUDAD DE QUITO PARA EL PERIODO 2018-2019 DEL SERVICIO PÚBLICO PARA PAGO DE ACCIDENTES DE TRÁNSITO”</w:t>
      </w:r>
    </w:p>
    <w:p w:rsidR="00EA5CFC" w:rsidRPr="00B2635E" w:rsidRDefault="008B4AF8" w:rsidP="00EA5CFC">
      <w:pPr>
        <w:spacing w:after="160" w:line="259" w:lineRule="auto"/>
        <w:jc w:val="both"/>
        <w:rPr>
          <w:rFonts w:ascii="Dubai Light" w:hAnsi="Dubai Light" w:cs="Dubai Light" w:hint="cs"/>
          <w:b/>
          <w:sz w:val="24"/>
          <w:szCs w:val="24"/>
        </w:rPr>
      </w:pPr>
      <w:r w:rsidRPr="00B2635E">
        <w:rPr>
          <w:rFonts w:ascii="Dubai Light" w:hAnsi="Dubai Light" w:cs="Dubai Light" w:hint="cs"/>
          <w:b/>
          <w:sz w:val="24"/>
          <w:szCs w:val="24"/>
        </w:rPr>
        <w:t xml:space="preserve">Entregables </w:t>
      </w:r>
    </w:p>
    <w:p w:rsidR="00EA5CFC" w:rsidRPr="00B2635E" w:rsidRDefault="00EA5CFC" w:rsidP="00EA5CFC">
      <w:pPr>
        <w:pStyle w:val="Prrafodelista"/>
        <w:numPr>
          <w:ilvl w:val="0"/>
          <w:numId w:val="9"/>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Resolución de Inicio y Aprobación de Pliegos N° 015-DE-RI-SPPAT-2018-09</w:t>
      </w:r>
    </w:p>
    <w:p w:rsidR="00EA5CFC" w:rsidRPr="00B2635E" w:rsidRDefault="00EA5CFC" w:rsidP="00EA5CFC">
      <w:pPr>
        <w:pStyle w:val="Prrafodelista"/>
        <w:numPr>
          <w:ilvl w:val="0"/>
          <w:numId w:val="9"/>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Resolución de Adjudicación N° 016-DE-RA-SPPAT-2018-03</w:t>
      </w:r>
    </w:p>
    <w:p w:rsidR="00EA5CFC" w:rsidRPr="00B2635E" w:rsidRDefault="00EA5CFC" w:rsidP="00EA5CFC">
      <w:pPr>
        <w:pStyle w:val="Prrafodelista"/>
        <w:numPr>
          <w:ilvl w:val="0"/>
          <w:numId w:val="9"/>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Contrato</w:t>
      </w:r>
    </w:p>
    <w:p w:rsidR="00EA5CFC" w:rsidRPr="00B2635E" w:rsidRDefault="00EA5CFC" w:rsidP="00EA5CFC">
      <w:p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 xml:space="preserve">Proceso </w:t>
      </w:r>
      <w:proofErr w:type="spellStart"/>
      <w:r w:rsidRPr="00B2635E">
        <w:rPr>
          <w:rFonts w:ascii="Dubai Light" w:hAnsi="Dubai Light" w:cs="Dubai Light" w:hint="cs"/>
          <w:b/>
          <w:sz w:val="24"/>
          <w:szCs w:val="24"/>
          <w:u w:val="single"/>
        </w:rPr>
        <w:t>N°</w:t>
      </w:r>
      <w:proofErr w:type="spellEnd"/>
      <w:r w:rsidRPr="00B2635E">
        <w:rPr>
          <w:rFonts w:ascii="Dubai Light" w:hAnsi="Dubai Light" w:cs="Dubai Light" w:hint="cs"/>
          <w:b/>
          <w:sz w:val="24"/>
          <w:szCs w:val="24"/>
          <w:u w:val="single"/>
        </w:rPr>
        <w:t xml:space="preserve"> SIE-SPPAT-002-2018</w:t>
      </w:r>
    </w:p>
    <w:p w:rsidR="00EA5CFC" w:rsidRPr="00B2635E" w:rsidRDefault="00EA5CFC" w:rsidP="00EA5CFC">
      <w:pPr>
        <w:jc w:val="both"/>
        <w:rPr>
          <w:rFonts w:ascii="Dubai Light" w:hAnsi="Dubai Light" w:cs="Dubai Light" w:hint="cs"/>
          <w:sz w:val="24"/>
          <w:szCs w:val="24"/>
        </w:rPr>
      </w:pPr>
      <w:r w:rsidRPr="00B2635E">
        <w:rPr>
          <w:rFonts w:ascii="Dubai Light" w:hAnsi="Dubai Light" w:cs="Dubai Light" w:hint="cs"/>
          <w:sz w:val="24"/>
          <w:szCs w:val="24"/>
        </w:rPr>
        <w:t>“ADQUISICION DE SUMINISTROS PARA LAS IMPRESORAS XEROX WORK CENTRE MODELO 7855, KONIKA MINOLTA BIZHUB C284E, HP LASER JET PRO MFP M476DW DEL SPPAT”</w:t>
      </w:r>
    </w:p>
    <w:p w:rsidR="00EA5CFC" w:rsidRPr="00B2635E" w:rsidRDefault="008B4AF8" w:rsidP="00EA5CFC">
      <w:pPr>
        <w:spacing w:after="160" w:line="259" w:lineRule="auto"/>
        <w:jc w:val="both"/>
        <w:rPr>
          <w:rFonts w:ascii="Dubai Light" w:hAnsi="Dubai Light" w:cs="Dubai Light" w:hint="cs"/>
          <w:b/>
          <w:sz w:val="24"/>
          <w:szCs w:val="24"/>
        </w:rPr>
      </w:pPr>
      <w:r w:rsidRPr="00B2635E">
        <w:rPr>
          <w:rFonts w:ascii="Dubai Light" w:hAnsi="Dubai Light" w:cs="Dubai Light" w:hint="cs"/>
          <w:b/>
          <w:sz w:val="24"/>
          <w:szCs w:val="24"/>
        </w:rPr>
        <w:t xml:space="preserve">Entregables </w:t>
      </w:r>
    </w:p>
    <w:p w:rsidR="00EA5CFC" w:rsidRPr="00B2635E" w:rsidRDefault="00EA5CFC" w:rsidP="00EA5CFC">
      <w:pPr>
        <w:pStyle w:val="Prrafodelista"/>
        <w:numPr>
          <w:ilvl w:val="0"/>
          <w:numId w:val="9"/>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Resolución de Adjudicación N° 017-DE-RA-SPPAT-2018-04</w:t>
      </w:r>
    </w:p>
    <w:p w:rsidR="00EA5CFC" w:rsidRPr="00B2635E" w:rsidRDefault="00EA5CFC" w:rsidP="00EA5CFC">
      <w:pPr>
        <w:pStyle w:val="Prrafodelista"/>
        <w:numPr>
          <w:ilvl w:val="0"/>
          <w:numId w:val="9"/>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Contrato</w:t>
      </w:r>
      <w:r w:rsidR="009D26C2" w:rsidRPr="00B2635E">
        <w:rPr>
          <w:rFonts w:ascii="Dubai Light" w:hAnsi="Dubai Light" w:cs="Dubai Light" w:hint="cs"/>
          <w:sz w:val="24"/>
          <w:szCs w:val="24"/>
        </w:rPr>
        <w:t>.</w:t>
      </w:r>
    </w:p>
    <w:p w:rsidR="00EA5CFC" w:rsidRPr="00B2635E" w:rsidRDefault="00AC6BA8" w:rsidP="008B4AF8">
      <w:pPr>
        <w:spacing w:after="160" w:line="259" w:lineRule="auto"/>
        <w:jc w:val="both"/>
        <w:rPr>
          <w:rFonts w:ascii="Dubai Light" w:hAnsi="Dubai Light" w:cs="Dubai Light" w:hint="cs"/>
          <w:b/>
          <w:sz w:val="24"/>
          <w:szCs w:val="24"/>
        </w:rPr>
      </w:pPr>
      <w:r w:rsidRPr="00B2635E">
        <w:rPr>
          <w:rFonts w:ascii="Dubai Light" w:hAnsi="Dubai Light" w:cs="Dubai Light" w:hint="cs"/>
          <w:b/>
          <w:sz w:val="24"/>
          <w:szCs w:val="24"/>
        </w:rPr>
        <w:t>Gestión de Patrocinio</w:t>
      </w:r>
    </w:p>
    <w:p w:rsidR="00EA5CFC" w:rsidRPr="00B2635E" w:rsidRDefault="006057F3" w:rsidP="00EA5CFC">
      <w:p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Durante el periodo enero – diciembre 2018 se han realizado las siguientes:</w:t>
      </w:r>
    </w:p>
    <w:p w:rsidR="006057F3" w:rsidRPr="00B2635E" w:rsidRDefault="006057F3" w:rsidP="00EA5CFC">
      <w:pPr>
        <w:spacing w:after="160" w:line="259" w:lineRule="auto"/>
        <w:jc w:val="both"/>
        <w:rPr>
          <w:rFonts w:ascii="Dubai Light" w:hAnsi="Dubai Light" w:cs="Dubai Light" w:hint="cs"/>
          <w:sz w:val="24"/>
          <w:szCs w:val="24"/>
        </w:rPr>
      </w:pPr>
    </w:p>
    <w:tbl>
      <w:tblPr>
        <w:tblStyle w:val="Tablaconcuadrcula"/>
        <w:tblW w:w="0" w:type="auto"/>
        <w:tblInd w:w="1129" w:type="dxa"/>
        <w:tblLook w:val="04A0" w:firstRow="1" w:lastRow="0" w:firstColumn="1" w:lastColumn="0" w:noHBand="0" w:noVBand="1"/>
      </w:tblPr>
      <w:tblGrid>
        <w:gridCol w:w="1732"/>
        <w:gridCol w:w="3150"/>
        <w:gridCol w:w="2767"/>
      </w:tblGrid>
      <w:tr w:rsidR="00EA5CFC" w:rsidRPr="00B2635E" w:rsidTr="00C975B6">
        <w:trPr>
          <w:trHeight w:val="481"/>
        </w:trPr>
        <w:tc>
          <w:tcPr>
            <w:tcW w:w="7699" w:type="dxa"/>
            <w:gridSpan w:val="3"/>
          </w:tcPr>
          <w:p w:rsidR="00EA5CFC" w:rsidRPr="00B2635E" w:rsidRDefault="00EA5CFC" w:rsidP="00C975B6">
            <w:pPr>
              <w:jc w:val="center"/>
              <w:rPr>
                <w:rFonts w:ascii="Dubai Light" w:hAnsi="Dubai Light" w:cs="Dubai Light" w:hint="cs"/>
                <w:b/>
                <w:sz w:val="24"/>
                <w:szCs w:val="24"/>
              </w:rPr>
            </w:pPr>
            <w:r w:rsidRPr="00B2635E">
              <w:rPr>
                <w:rFonts w:ascii="Dubai Light" w:hAnsi="Dubai Light" w:cs="Dubai Light" w:hint="cs"/>
                <w:b/>
                <w:sz w:val="24"/>
                <w:szCs w:val="24"/>
              </w:rPr>
              <w:t>PROCESOS JUDICIALES, GESTIÓN DE PATROCINIO</w:t>
            </w:r>
          </w:p>
        </w:tc>
      </w:tr>
      <w:tr w:rsidR="00EA5CFC" w:rsidRPr="00B2635E" w:rsidTr="00C975B6">
        <w:trPr>
          <w:trHeight w:val="403"/>
        </w:trPr>
        <w:tc>
          <w:tcPr>
            <w:tcW w:w="1560" w:type="dxa"/>
          </w:tcPr>
          <w:p w:rsidR="00EA5CFC" w:rsidRPr="00B2635E" w:rsidRDefault="00EA5CFC" w:rsidP="00C975B6">
            <w:pPr>
              <w:jc w:val="center"/>
              <w:rPr>
                <w:rFonts w:ascii="Dubai Light" w:hAnsi="Dubai Light" w:cs="Dubai Light" w:hint="cs"/>
                <w:b/>
                <w:sz w:val="24"/>
                <w:szCs w:val="24"/>
              </w:rPr>
            </w:pPr>
            <w:r w:rsidRPr="00B2635E">
              <w:rPr>
                <w:rFonts w:ascii="Dubai Light" w:hAnsi="Dubai Light" w:cs="Dubai Light" w:hint="cs"/>
                <w:b/>
                <w:sz w:val="24"/>
                <w:szCs w:val="24"/>
              </w:rPr>
              <w:t xml:space="preserve">DEPENDENCIA </w:t>
            </w:r>
          </w:p>
        </w:tc>
        <w:tc>
          <w:tcPr>
            <w:tcW w:w="3260" w:type="dxa"/>
          </w:tcPr>
          <w:p w:rsidR="00EA5CFC" w:rsidRPr="00B2635E" w:rsidRDefault="00EA5CFC" w:rsidP="00C975B6">
            <w:pPr>
              <w:jc w:val="center"/>
              <w:rPr>
                <w:rFonts w:ascii="Dubai Light" w:hAnsi="Dubai Light" w:cs="Dubai Light" w:hint="cs"/>
                <w:b/>
                <w:sz w:val="24"/>
                <w:szCs w:val="24"/>
              </w:rPr>
            </w:pPr>
            <w:r w:rsidRPr="00B2635E">
              <w:rPr>
                <w:rFonts w:ascii="Dubai Light" w:hAnsi="Dubai Light" w:cs="Dubai Light" w:hint="cs"/>
                <w:b/>
                <w:sz w:val="24"/>
                <w:szCs w:val="24"/>
              </w:rPr>
              <w:t xml:space="preserve">PROCESO </w:t>
            </w:r>
          </w:p>
        </w:tc>
        <w:tc>
          <w:tcPr>
            <w:tcW w:w="2879" w:type="dxa"/>
          </w:tcPr>
          <w:p w:rsidR="00EA5CFC" w:rsidRPr="00B2635E" w:rsidRDefault="00EA5CFC" w:rsidP="00C975B6">
            <w:pPr>
              <w:jc w:val="center"/>
              <w:rPr>
                <w:rFonts w:ascii="Dubai Light" w:hAnsi="Dubai Light" w:cs="Dubai Light" w:hint="cs"/>
                <w:b/>
                <w:sz w:val="24"/>
                <w:szCs w:val="24"/>
              </w:rPr>
            </w:pPr>
            <w:r w:rsidRPr="00B2635E">
              <w:rPr>
                <w:rFonts w:ascii="Dubai Light" w:hAnsi="Dubai Light" w:cs="Dubai Light" w:hint="cs"/>
                <w:b/>
                <w:sz w:val="24"/>
                <w:szCs w:val="24"/>
              </w:rPr>
              <w:t>ESTADO</w:t>
            </w:r>
          </w:p>
        </w:tc>
      </w:tr>
      <w:tr w:rsidR="00EA5CFC" w:rsidRPr="00B2635E" w:rsidTr="00C975B6">
        <w:tc>
          <w:tcPr>
            <w:tcW w:w="15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Fiscalía General del Estado</w:t>
            </w:r>
          </w:p>
        </w:tc>
        <w:tc>
          <w:tcPr>
            <w:tcW w:w="32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Investigación Previa 170101818090726</w:t>
            </w:r>
          </w:p>
        </w:tc>
        <w:tc>
          <w:tcPr>
            <w:tcW w:w="2879"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Práctica de Pruebas SZ PEI 1809</w:t>
            </w:r>
          </w:p>
        </w:tc>
      </w:tr>
      <w:tr w:rsidR="00EA5CFC" w:rsidRPr="00B2635E" w:rsidTr="00C975B6">
        <w:tc>
          <w:tcPr>
            <w:tcW w:w="15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Fiscalía General del Estado</w:t>
            </w:r>
          </w:p>
        </w:tc>
        <w:tc>
          <w:tcPr>
            <w:tcW w:w="32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Denuncia 170101818082844</w:t>
            </w:r>
          </w:p>
        </w:tc>
        <w:tc>
          <w:tcPr>
            <w:tcW w:w="2879"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Denuncia por Seguro vehículo Vitara PEI 1805</w:t>
            </w:r>
          </w:p>
        </w:tc>
      </w:tr>
      <w:tr w:rsidR="00EA5CFC" w:rsidRPr="00B2635E" w:rsidTr="00C975B6">
        <w:tc>
          <w:tcPr>
            <w:tcW w:w="15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Fiscalía General del Estado</w:t>
            </w:r>
          </w:p>
          <w:p w:rsidR="00EA5CFC" w:rsidRPr="00B2635E" w:rsidRDefault="00EA5CFC" w:rsidP="00C975B6">
            <w:pPr>
              <w:jc w:val="center"/>
              <w:rPr>
                <w:rFonts w:ascii="Dubai Light" w:hAnsi="Dubai Light" w:cs="Dubai Light" w:hint="cs"/>
                <w:sz w:val="24"/>
                <w:szCs w:val="24"/>
              </w:rPr>
            </w:pPr>
          </w:p>
        </w:tc>
        <w:tc>
          <w:tcPr>
            <w:tcW w:w="32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Investigación Previa 170101818093584</w:t>
            </w:r>
          </w:p>
        </w:tc>
        <w:tc>
          <w:tcPr>
            <w:tcW w:w="2879"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Delito informático</w:t>
            </w:r>
          </w:p>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Pendiente</w:t>
            </w:r>
          </w:p>
        </w:tc>
      </w:tr>
      <w:tr w:rsidR="00EA5CFC" w:rsidRPr="00B2635E" w:rsidTr="00C975B6">
        <w:tc>
          <w:tcPr>
            <w:tcW w:w="15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Defensoría del Pueblo</w:t>
            </w:r>
          </w:p>
        </w:tc>
        <w:tc>
          <w:tcPr>
            <w:tcW w:w="32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Investigación Defensorial Caso -DPE -0901-090101-4-2018-26004-GLR</w:t>
            </w:r>
          </w:p>
        </w:tc>
        <w:tc>
          <w:tcPr>
            <w:tcW w:w="2879"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Archivado</w:t>
            </w:r>
          </w:p>
        </w:tc>
      </w:tr>
      <w:tr w:rsidR="00EA5CFC" w:rsidRPr="00B2635E" w:rsidTr="00C975B6">
        <w:tc>
          <w:tcPr>
            <w:tcW w:w="15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Defensoría del Pueblo</w:t>
            </w:r>
          </w:p>
        </w:tc>
        <w:tc>
          <w:tcPr>
            <w:tcW w:w="32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Investigación Defensorial Caso DPE-1705-70501-225-2018-000917-JFSA</w:t>
            </w:r>
          </w:p>
        </w:tc>
        <w:tc>
          <w:tcPr>
            <w:tcW w:w="2879"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Inadmisibilidad de investigación defensorial</w:t>
            </w:r>
          </w:p>
        </w:tc>
      </w:tr>
      <w:tr w:rsidR="00EA5CFC" w:rsidRPr="00B2635E" w:rsidTr="00C975B6">
        <w:tc>
          <w:tcPr>
            <w:tcW w:w="15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Tribunal Contencioso Administrativo</w:t>
            </w:r>
          </w:p>
        </w:tc>
        <w:tc>
          <w:tcPr>
            <w:tcW w:w="32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Juicio Contencioso Administrativo N° 17811-2017-01233</w:t>
            </w:r>
          </w:p>
        </w:tc>
        <w:tc>
          <w:tcPr>
            <w:tcW w:w="2879"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Audiencia preliminar 20 de febrero del 2020</w:t>
            </w:r>
          </w:p>
        </w:tc>
      </w:tr>
      <w:tr w:rsidR="00EA5CFC" w:rsidRPr="00B2635E" w:rsidTr="00C975B6">
        <w:tc>
          <w:tcPr>
            <w:tcW w:w="1560"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t xml:space="preserve">Centro de Mediación de la Procuraduría </w:t>
            </w:r>
            <w:r w:rsidRPr="00B2635E">
              <w:rPr>
                <w:rFonts w:ascii="Dubai Light" w:hAnsi="Dubai Light" w:cs="Dubai Light" w:hint="cs"/>
                <w:sz w:val="24"/>
                <w:szCs w:val="24"/>
              </w:rPr>
              <w:lastRenderedPageBreak/>
              <w:t>General del Estado</w:t>
            </w:r>
          </w:p>
        </w:tc>
        <w:tc>
          <w:tcPr>
            <w:tcW w:w="3260" w:type="dxa"/>
          </w:tcPr>
          <w:p w:rsidR="00EA5CFC" w:rsidRPr="00B2635E" w:rsidRDefault="00EA5CFC" w:rsidP="00C975B6">
            <w:pPr>
              <w:jc w:val="center"/>
              <w:rPr>
                <w:rFonts w:ascii="Dubai Light" w:hAnsi="Dubai Light" w:cs="Dubai Light" w:hint="cs"/>
                <w:sz w:val="24"/>
                <w:szCs w:val="24"/>
              </w:rPr>
            </w:pPr>
          </w:p>
          <w:p w:rsidR="00EA5CFC" w:rsidRPr="00B2635E" w:rsidRDefault="00EA5CFC" w:rsidP="00C975B6">
            <w:pPr>
              <w:jc w:val="center"/>
              <w:rPr>
                <w:rFonts w:ascii="Dubai Light" w:hAnsi="Dubai Light" w:cs="Dubai Light" w:hint="cs"/>
                <w:sz w:val="24"/>
                <w:szCs w:val="24"/>
              </w:rPr>
            </w:pPr>
          </w:p>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lastRenderedPageBreak/>
              <w:t>Convocatoria N° 88-CMCV-2019 GUA</w:t>
            </w:r>
          </w:p>
        </w:tc>
        <w:tc>
          <w:tcPr>
            <w:tcW w:w="2879" w:type="dxa"/>
          </w:tcPr>
          <w:p w:rsidR="00EA5CFC" w:rsidRPr="00B2635E" w:rsidRDefault="00EA5CFC" w:rsidP="00C975B6">
            <w:pPr>
              <w:jc w:val="center"/>
              <w:rPr>
                <w:rFonts w:ascii="Dubai Light" w:hAnsi="Dubai Light" w:cs="Dubai Light" w:hint="cs"/>
                <w:sz w:val="24"/>
                <w:szCs w:val="24"/>
              </w:rPr>
            </w:pPr>
            <w:r w:rsidRPr="00B2635E">
              <w:rPr>
                <w:rFonts w:ascii="Dubai Light" w:hAnsi="Dubai Light" w:cs="Dubai Light" w:hint="cs"/>
                <w:sz w:val="24"/>
                <w:szCs w:val="24"/>
              </w:rPr>
              <w:lastRenderedPageBreak/>
              <w:t>Seguir con el trámite correspondiente al pago de las Protecciones SPPAT</w:t>
            </w:r>
          </w:p>
        </w:tc>
      </w:tr>
    </w:tbl>
    <w:p w:rsidR="002B328C" w:rsidRPr="00B2635E" w:rsidRDefault="002B328C" w:rsidP="00EA5CFC">
      <w:pPr>
        <w:jc w:val="both"/>
        <w:rPr>
          <w:rFonts w:ascii="Dubai Light" w:eastAsia="Times New Roman" w:hAnsi="Dubai Light" w:cs="Dubai Light" w:hint="cs"/>
          <w:sz w:val="24"/>
          <w:szCs w:val="24"/>
          <w:lang w:eastAsia="es-EC"/>
        </w:rPr>
      </w:pPr>
    </w:p>
    <w:p w:rsidR="00623E8A" w:rsidRPr="00B2635E" w:rsidRDefault="00623E8A" w:rsidP="00623E8A">
      <w:pPr>
        <w:pStyle w:val="Prrafodelista"/>
        <w:numPr>
          <w:ilvl w:val="0"/>
          <w:numId w:val="17"/>
        </w:num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GESTIÓN DE DIRECCIÓN DE</w:t>
      </w:r>
      <w:r w:rsidR="000610A0" w:rsidRPr="00B2635E">
        <w:rPr>
          <w:rFonts w:ascii="Dubai Light" w:hAnsi="Dubai Light" w:cs="Dubai Light" w:hint="cs"/>
          <w:b/>
          <w:sz w:val="24"/>
          <w:szCs w:val="24"/>
          <w:u w:val="single"/>
        </w:rPr>
        <w:t xml:space="preserve"> ANÁLISIS DE</w:t>
      </w:r>
      <w:r w:rsidRPr="00B2635E">
        <w:rPr>
          <w:rFonts w:ascii="Dubai Light" w:hAnsi="Dubai Light" w:cs="Dubai Light" w:hint="cs"/>
          <w:b/>
          <w:sz w:val="24"/>
          <w:szCs w:val="24"/>
          <w:u w:val="single"/>
        </w:rPr>
        <w:t xml:space="preserve"> PROTECCIONES</w:t>
      </w:r>
    </w:p>
    <w:p w:rsidR="001D7E1F" w:rsidRPr="00B2635E" w:rsidRDefault="000610A0" w:rsidP="000610A0">
      <w:pPr>
        <w:jc w:val="both"/>
        <w:rPr>
          <w:rFonts w:ascii="Dubai Light" w:hAnsi="Dubai Light" w:cs="Dubai Light" w:hint="cs"/>
          <w:sz w:val="24"/>
          <w:szCs w:val="24"/>
        </w:rPr>
      </w:pPr>
      <w:r w:rsidRPr="00B2635E">
        <w:rPr>
          <w:rFonts w:ascii="Dubai Light" w:hAnsi="Dubai Light" w:cs="Dubai Light" w:hint="cs"/>
          <w:sz w:val="24"/>
          <w:szCs w:val="24"/>
        </w:rPr>
        <w:t>La Dirección de Análisis de Protecciones abarca el procesamiento de los casos presentados por los usuarios para realizar el reclamo por las cinco protecciones que otorga el SPPAT de acuerdo a la Ley y comprende:</w:t>
      </w:r>
    </w:p>
    <w:p w:rsidR="001D7E1F" w:rsidRPr="00B2635E" w:rsidRDefault="001D7E1F" w:rsidP="00DD0F0B">
      <w:pPr>
        <w:pStyle w:val="Sinespaciado"/>
        <w:numPr>
          <w:ilvl w:val="1"/>
          <w:numId w:val="27"/>
        </w:numPr>
        <w:jc w:val="both"/>
        <w:rPr>
          <w:rFonts w:ascii="Dubai Light" w:hAnsi="Dubai Light" w:cs="Dubai Light" w:hint="cs"/>
          <w:b/>
          <w:sz w:val="24"/>
          <w:szCs w:val="24"/>
        </w:rPr>
      </w:pPr>
      <w:r w:rsidRPr="00B2635E">
        <w:rPr>
          <w:rFonts w:ascii="Dubai Light" w:hAnsi="Dubai Light" w:cs="Dubai Light" w:hint="cs"/>
          <w:b/>
          <w:sz w:val="24"/>
          <w:szCs w:val="24"/>
        </w:rPr>
        <w:t xml:space="preserve">Atenciones a </w:t>
      </w:r>
      <w:r w:rsidR="00936127" w:rsidRPr="00B2635E">
        <w:rPr>
          <w:rFonts w:ascii="Dubai Light" w:hAnsi="Dubai Light" w:cs="Dubai Light" w:hint="cs"/>
          <w:b/>
          <w:sz w:val="24"/>
          <w:szCs w:val="24"/>
        </w:rPr>
        <w:t>Usuarios</w:t>
      </w:r>
    </w:p>
    <w:p w:rsidR="001D7E1F" w:rsidRPr="00B2635E" w:rsidRDefault="001D7E1F" w:rsidP="001D7E1F">
      <w:pPr>
        <w:pStyle w:val="Sinespaciado"/>
        <w:jc w:val="both"/>
        <w:rPr>
          <w:rFonts w:ascii="Dubai Light" w:hAnsi="Dubai Light" w:cs="Dubai Light" w:hint="cs"/>
          <w:sz w:val="24"/>
          <w:szCs w:val="24"/>
        </w:rPr>
      </w:pPr>
    </w:p>
    <w:p w:rsidR="001D7E1F" w:rsidRPr="00B2635E" w:rsidRDefault="001D7E1F" w:rsidP="001D7E1F">
      <w:pPr>
        <w:pStyle w:val="Sinespaciado"/>
        <w:jc w:val="both"/>
        <w:rPr>
          <w:rFonts w:ascii="Dubai Light" w:hAnsi="Dubai Light" w:cs="Dubai Light" w:hint="cs"/>
          <w:sz w:val="24"/>
          <w:szCs w:val="24"/>
        </w:rPr>
      </w:pPr>
      <w:r w:rsidRPr="00B2635E">
        <w:rPr>
          <w:rFonts w:ascii="Dubai Light" w:hAnsi="Dubai Light" w:cs="Dubai Light" w:hint="cs"/>
          <w:sz w:val="24"/>
          <w:szCs w:val="24"/>
        </w:rPr>
        <w:t>Son las personas que acuden a oficinas de manera personal, se comunican vía telefónica o a través de los canales electrónicos por diversos requerimientos relacionados con las diferentes protecciones que otorga el SPPAT.</w:t>
      </w:r>
    </w:p>
    <w:p w:rsidR="001D7E1F" w:rsidRPr="00B2635E" w:rsidRDefault="001D7E1F" w:rsidP="001D7E1F">
      <w:pPr>
        <w:pStyle w:val="Sinespaciado"/>
        <w:jc w:val="both"/>
        <w:rPr>
          <w:rFonts w:ascii="Dubai Light" w:hAnsi="Dubai Light" w:cs="Dubai Light" w:hint="cs"/>
          <w:sz w:val="24"/>
          <w:szCs w:val="24"/>
        </w:rPr>
      </w:pPr>
    </w:p>
    <w:p w:rsidR="001D7E1F" w:rsidRPr="00B2635E" w:rsidRDefault="001D7E1F" w:rsidP="001D7E1F">
      <w:pPr>
        <w:pStyle w:val="Sinespaciado"/>
        <w:jc w:val="both"/>
        <w:rPr>
          <w:rFonts w:ascii="Dubai Light" w:hAnsi="Dubai Light" w:cs="Dubai Light" w:hint="cs"/>
          <w:sz w:val="24"/>
          <w:szCs w:val="24"/>
        </w:rPr>
      </w:pPr>
      <w:r w:rsidRPr="00B2635E">
        <w:rPr>
          <w:rFonts w:ascii="Dubai Light" w:hAnsi="Dubai Light" w:cs="Dubai Light" w:hint="cs"/>
          <w:sz w:val="24"/>
          <w:szCs w:val="24"/>
        </w:rPr>
        <w:t>Para el procesamiento de las 5 protecciones que brinda el SPPAT, se puede presentar la documentación de manera presencial o enviados a través de servicios de Courier.</w:t>
      </w:r>
    </w:p>
    <w:p w:rsidR="001D7E1F" w:rsidRPr="00B2635E" w:rsidRDefault="001D7E1F" w:rsidP="001D7E1F">
      <w:pPr>
        <w:pStyle w:val="Sinespaciado"/>
        <w:jc w:val="both"/>
        <w:rPr>
          <w:rFonts w:ascii="Dubai Light" w:hAnsi="Dubai Light" w:cs="Dubai Light" w:hint="cs"/>
          <w:sz w:val="24"/>
          <w:szCs w:val="24"/>
        </w:rPr>
      </w:pPr>
    </w:p>
    <w:p w:rsidR="001D7E1F" w:rsidRPr="00B2635E" w:rsidRDefault="001D7E1F" w:rsidP="00DD0F0B">
      <w:pPr>
        <w:pStyle w:val="Sinespaciado"/>
        <w:numPr>
          <w:ilvl w:val="1"/>
          <w:numId w:val="27"/>
        </w:numPr>
        <w:jc w:val="both"/>
        <w:rPr>
          <w:rFonts w:ascii="Dubai Light" w:hAnsi="Dubai Light" w:cs="Dubai Light" w:hint="cs"/>
          <w:b/>
          <w:sz w:val="24"/>
          <w:szCs w:val="24"/>
        </w:rPr>
      </w:pPr>
      <w:r w:rsidRPr="00B2635E">
        <w:rPr>
          <w:rFonts w:ascii="Dubai Light" w:hAnsi="Dubai Light" w:cs="Dubai Light" w:hint="cs"/>
          <w:b/>
          <w:sz w:val="24"/>
          <w:szCs w:val="24"/>
        </w:rPr>
        <w:t>Procesamiento de Ca</w:t>
      </w:r>
      <w:r w:rsidR="00763D40" w:rsidRPr="00B2635E">
        <w:rPr>
          <w:rFonts w:ascii="Dubai Light" w:hAnsi="Dubai Light" w:cs="Dubai Light" w:hint="cs"/>
          <w:b/>
          <w:sz w:val="24"/>
          <w:szCs w:val="24"/>
        </w:rPr>
        <w:t>sos</w:t>
      </w:r>
      <w:r w:rsidRPr="00B2635E">
        <w:rPr>
          <w:rFonts w:ascii="Dubai Light" w:hAnsi="Dubai Light" w:cs="Dubai Light" w:hint="cs"/>
          <w:b/>
          <w:sz w:val="24"/>
          <w:szCs w:val="24"/>
        </w:rPr>
        <w:t xml:space="preserve"> por Protección de </w:t>
      </w:r>
      <w:r w:rsidR="008B6B0A" w:rsidRPr="00B2635E">
        <w:rPr>
          <w:rFonts w:ascii="Dubai Light" w:hAnsi="Dubai Light" w:cs="Dubai Light" w:hint="cs"/>
          <w:b/>
          <w:sz w:val="24"/>
          <w:szCs w:val="24"/>
        </w:rPr>
        <w:t>Fallecimiento</w:t>
      </w:r>
    </w:p>
    <w:p w:rsidR="001D7E1F" w:rsidRPr="00B2635E" w:rsidRDefault="001D7E1F" w:rsidP="001D7E1F">
      <w:pPr>
        <w:pStyle w:val="Sinespaciado"/>
        <w:jc w:val="both"/>
        <w:rPr>
          <w:rFonts w:ascii="Dubai Light" w:hAnsi="Dubai Light" w:cs="Dubai Light" w:hint="cs"/>
          <w:sz w:val="24"/>
          <w:szCs w:val="24"/>
        </w:rPr>
      </w:pPr>
    </w:p>
    <w:p w:rsidR="001D7E1F" w:rsidRPr="00B2635E" w:rsidRDefault="001D7E1F" w:rsidP="001D7E1F">
      <w:pPr>
        <w:pStyle w:val="Sinespaciado"/>
        <w:jc w:val="both"/>
        <w:rPr>
          <w:rFonts w:ascii="Dubai Light" w:hAnsi="Dubai Light" w:cs="Dubai Light" w:hint="cs"/>
          <w:sz w:val="24"/>
          <w:szCs w:val="24"/>
        </w:rPr>
      </w:pPr>
      <w:r w:rsidRPr="00B2635E">
        <w:rPr>
          <w:rFonts w:ascii="Dubai Light" w:hAnsi="Dubai Light" w:cs="Dubai Light" w:hint="cs"/>
          <w:sz w:val="24"/>
          <w:szCs w:val="24"/>
        </w:rPr>
        <w:t>Casos presentados por los familiares de las víctimas que fallecen en siniestros de tránsito para solicitar la protección a la que tienen derecho ($ 5.000), la documentación presentada sigue un proceso de revisión y verificación documental, análisis jurídico y determinación de beneficiarios, para luego continuar con el proceso de pago.</w:t>
      </w:r>
    </w:p>
    <w:p w:rsidR="001D7E1F" w:rsidRPr="00B2635E" w:rsidRDefault="001D7E1F" w:rsidP="001D7E1F">
      <w:pPr>
        <w:pStyle w:val="Sinespaciado"/>
        <w:jc w:val="both"/>
        <w:rPr>
          <w:rFonts w:ascii="Dubai Light" w:hAnsi="Dubai Light" w:cs="Dubai Light" w:hint="cs"/>
          <w:sz w:val="24"/>
          <w:szCs w:val="24"/>
        </w:rPr>
      </w:pPr>
    </w:p>
    <w:p w:rsidR="001D7E1F" w:rsidRPr="00B2635E" w:rsidRDefault="001D7E1F" w:rsidP="00DD0F0B">
      <w:pPr>
        <w:pStyle w:val="Sinespaciado"/>
        <w:numPr>
          <w:ilvl w:val="1"/>
          <w:numId w:val="27"/>
        </w:numPr>
        <w:jc w:val="both"/>
        <w:rPr>
          <w:rFonts w:ascii="Dubai Light" w:hAnsi="Dubai Light" w:cs="Dubai Light" w:hint="cs"/>
          <w:b/>
          <w:sz w:val="24"/>
          <w:szCs w:val="24"/>
        </w:rPr>
      </w:pPr>
      <w:r w:rsidRPr="00B2635E">
        <w:rPr>
          <w:rFonts w:ascii="Dubai Light" w:hAnsi="Dubai Light" w:cs="Dubai Light" w:hint="cs"/>
          <w:b/>
          <w:sz w:val="24"/>
          <w:szCs w:val="24"/>
        </w:rPr>
        <w:t>Procesamiento de Ca</w:t>
      </w:r>
      <w:r w:rsidR="00763D40" w:rsidRPr="00B2635E">
        <w:rPr>
          <w:rFonts w:ascii="Dubai Light" w:hAnsi="Dubai Light" w:cs="Dubai Light" w:hint="cs"/>
          <w:b/>
          <w:sz w:val="24"/>
          <w:szCs w:val="24"/>
        </w:rPr>
        <w:t>sos</w:t>
      </w:r>
      <w:r w:rsidRPr="00B2635E">
        <w:rPr>
          <w:rFonts w:ascii="Dubai Light" w:hAnsi="Dubai Light" w:cs="Dubai Light" w:hint="cs"/>
          <w:b/>
          <w:sz w:val="24"/>
          <w:szCs w:val="24"/>
        </w:rPr>
        <w:t xml:space="preserve"> por Protección de Gastos </w:t>
      </w:r>
      <w:r w:rsidR="008B6B0A" w:rsidRPr="00B2635E">
        <w:rPr>
          <w:rFonts w:ascii="Dubai Light" w:hAnsi="Dubai Light" w:cs="Dubai Light" w:hint="cs"/>
          <w:b/>
          <w:sz w:val="24"/>
          <w:szCs w:val="24"/>
        </w:rPr>
        <w:t>Funerarios</w:t>
      </w:r>
    </w:p>
    <w:p w:rsidR="001D7E1F" w:rsidRPr="00B2635E" w:rsidRDefault="001D7E1F" w:rsidP="001D7E1F">
      <w:pPr>
        <w:pStyle w:val="Sinespaciado"/>
        <w:jc w:val="both"/>
        <w:rPr>
          <w:rFonts w:ascii="Dubai Light" w:hAnsi="Dubai Light" w:cs="Dubai Light" w:hint="cs"/>
          <w:b/>
          <w:sz w:val="24"/>
          <w:szCs w:val="24"/>
        </w:rPr>
      </w:pPr>
    </w:p>
    <w:p w:rsidR="001D7E1F" w:rsidRPr="00B2635E" w:rsidRDefault="001D7E1F" w:rsidP="001D7E1F">
      <w:pPr>
        <w:pStyle w:val="Sinespaciado"/>
        <w:jc w:val="both"/>
        <w:rPr>
          <w:rFonts w:ascii="Dubai Light" w:hAnsi="Dubai Light" w:cs="Dubai Light" w:hint="cs"/>
          <w:sz w:val="24"/>
          <w:szCs w:val="24"/>
        </w:rPr>
      </w:pPr>
      <w:r w:rsidRPr="00B2635E">
        <w:rPr>
          <w:rFonts w:ascii="Dubai Light" w:hAnsi="Dubai Light" w:cs="Dubai Light" w:hint="cs"/>
          <w:sz w:val="24"/>
          <w:szCs w:val="24"/>
        </w:rPr>
        <w:t>Casos presentados por los familiares de las víctimas que fallecen en siniestros de tránsito para solicitar la protección por gastos funerarios a la que tienen derecho (Hasta $ 400), la documentación presentada sigue un proceso de revisión, verificación documental, y determinación de beneficiarios, para luego continuar con el proceso de pago.</w:t>
      </w:r>
    </w:p>
    <w:p w:rsidR="001D7E1F" w:rsidRPr="00B2635E" w:rsidRDefault="001D7E1F" w:rsidP="001D7E1F">
      <w:pPr>
        <w:jc w:val="both"/>
        <w:rPr>
          <w:rFonts w:ascii="Dubai Light" w:eastAsia="Times New Roman" w:hAnsi="Dubai Light" w:cs="Dubai Light" w:hint="cs"/>
          <w:sz w:val="24"/>
          <w:szCs w:val="24"/>
          <w:lang w:eastAsia="es-EC"/>
        </w:rPr>
      </w:pPr>
    </w:p>
    <w:p w:rsidR="001D7E1F" w:rsidRPr="00B2635E" w:rsidRDefault="001D7E1F" w:rsidP="00DD0F0B">
      <w:pPr>
        <w:pStyle w:val="Prrafodelista"/>
        <w:numPr>
          <w:ilvl w:val="1"/>
          <w:numId w:val="27"/>
        </w:numPr>
        <w:jc w:val="both"/>
        <w:rPr>
          <w:rFonts w:ascii="Dubai Light" w:hAnsi="Dubai Light" w:cs="Dubai Light" w:hint="cs"/>
          <w:b/>
          <w:sz w:val="24"/>
          <w:szCs w:val="24"/>
        </w:rPr>
      </w:pPr>
      <w:r w:rsidRPr="00B2635E">
        <w:rPr>
          <w:rFonts w:ascii="Dubai Light" w:hAnsi="Dubai Light" w:cs="Dubai Light" w:hint="cs"/>
          <w:b/>
          <w:sz w:val="24"/>
          <w:szCs w:val="24"/>
        </w:rPr>
        <w:t xml:space="preserve">Protecciones por Gastos </w:t>
      </w:r>
      <w:r w:rsidR="008B6B0A" w:rsidRPr="00B2635E">
        <w:rPr>
          <w:rFonts w:ascii="Dubai Light" w:hAnsi="Dubai Light" w:cs="Dubai Light" w:hint="cs"/>
          <w:b/>
          <w:sz w:val="24"/>
          <w:szCs w:val="24"/>
        </w:rPr>
        <w:t>Médicos</w:t>
      </w:r>
    </w:p>
    <w:p w:rsidR="001D7E1F" w:rsidRPr="00B2635E" w:rsidRDefault="001D7E1F" w:rsidP="001D7E1F">
      <w:pPr>
        <w:pStyle w:val="Sinespaciado"/>
        <w:jc w:val="both"/>
        <w:rPr>
          <w:rFonts w:ascii="Dubai Light" w:hAnsi="Dubai Light" w:cs="Dubai Light" w:hint="cs"/>
          <w:sz w:val="24"/>
          <w:szCs w:val="24"/>
        </w:rPr>
      </w:pPr>
      <w:r w:rsidRPr="00B2635E">
        <w:rPr>
          <w:rFonts w:ascii="Dubai Light" w:hAnsi="Dubai Light" w:cs="Dubai Light" w:hint="cs"/>
          <w:sz w:val="24"/>
          <w:szCs w:val="24"/>
        </w:rPr>
        <w:t>Casos presentados por los prestadores de salud de la Red Pública Integral de Salud, la Red Privada Complementaria, las víctimas de siniestros de tránsito o sus familiares, para solicitar la protección por gastos médicos (Hasta $ 3.000), la documentación presentada sigue el proceso de Auditoría de la Calidad de la Facturación de los Servicios de Salud, que comprende tres fases: control documental, control técnico médico y control de tarifas y liquidación, para luego continuar con el proceso de pago.</w:t>
      </w:r>
    </w:p>
    <w:p w:rsidR="001D7E1F" w:rsidRPr="00B2635E" w:rsidRDefault="001D7E1F" w:rsidP="001D7E1F">
      <w:pPr>
        <w:jc w:val="both"/>
        <w:rPr>
          <w:rFonts w:ascii="Dubai Light" w:eastAsia="Times New Roman" w:hAnsi="Dubai Light" w:cs="Dubai Light" w:hint="cs"/>
          <w:sz w:val="24"/>
          <w:szCs w:val="24"/>
          <w:highlight w:val="yellow"/>
          <w:lang w:eastAsia="es-EC"/>
        </w:rPr>
      </w:pPr>
    </w:p>
    <w:p w:rsidR="001D7E1F" w:rsidRPr="00B2635E" w:rsidRDefault="001D7E1F" w:rsidP="00DD0F0B">
      <w:pPr>
        <w:pStyle w:val="Prrafodelista"/>
        <w:numPr>
          <w:ilvl w:val="1"/>
          <w:numId w:val="27"/>
        </w:numPr>
        <w:jc w:val="both"/>
        <w:rPr>
          <w:rFonts w:ascii="Dubai Light" w:eastAsia="Times New Roman" w:hAnsi="Dubai Light" w:cs="Dubai Light" w:hint="cs"/>
          <w:b/>
          <w:sz w:val="24"/>
          <w:szCs w:val="24"/>
          <w:lang w:eastAsia="es-EC"/>
        </w:rPr>
      </w:pPr>
      <w:r w:rsidRPr="00B2635E">
        <w:rPr>
          <w:rFonts w:ascii="Dubai Light" w:eastAsia="Times New Roman" w:hAnsi="Dubai Light" w:cs="Dubai Light" w:hint="cs"/>
          <w:b/>
          <w:sz w:val="24"/>
          <w:szCs w:val="24"/>
          <w:lang w:eastAsia="es-EC"/>
        </w:rPr>
        <w:t>Protección por Discapacidad</w:t>
      </w:r>
    </w:p>
    <w:p w:rsidR="001D7E1F" w:rsidRPr="00B2635E" w:rsidRDefault="001D7E1F" w:rsidP="001D7E1F">
      <w:pPr>
        <w:pStyle w:val="Sinespaciado"/>
        <w:jc w:val="both"/>
        <w:rPr>
          <w:rFonts w:ascii="Dubai Light" w:hAnsi="Dubai Light" w:cs="Dubai Light" w:hint="cs"/>
          <w:sz w:val="24"/>
          <w:szCs w:val="24"/>
        </w:rPr>
      </w:pPr>
      <w:r w:rsidRPr="00B2635E">
        <w:rPr>
          <w:rFonts w:ascii="Dubai Light" w:hAnsi="Dubai Light" w:cs="Dubai Light" w:hint="cs"/>
          <w:sz w:val="24"/>
          <w:szCs w:val="24"/>
        </w:rPr>
        <w:t>Casos presentados por familiares o víctimas de siniestros de tránsito, que a consecuencia del accidente adquieren una discapacidad permanente, y solicitan la protección por discapacidad a la que tienen derecho (Hasta $ 5.000), la documentación presentada sigue un proceso de revisión, verificación documental, y determinación de monto de cobertura, para luego continuar con el proceso de pago.</w:t>
      </w:r>
    </w:p>
    <w:p w:rsidR="00BA3BB3" w:rsidRPr="00B2635E" w:rsidRDefault="00BA3BB3" w:rsidP="001D7E1F">
      <w:pPr>
        <w:pStyle w:val="Sinespaciado"/>
        <w:jc w:val="both"/>
        <w:rPr>
          <w:rFonts w:ascii="Dubai Light" w:hAnsi="Dubai Light" w:cs="Dubai Light" w:hint="cs"/>
          <w:sz w:val="24"/>
          <w:szCs w:val="24"/>
        </w:rPr>
      </w:pPr>
    </w:p>
    <w:p w:rsidR="001D7E1F" w:rsidRPr="00B2635E" w:rsidRDefault="001D7E1F" w:rsidP="001D7E1F">
      <w:pPr>
        <w:pStyle w:val="Sinespaciado"/>
        <w:jc w:val="both"/>
        <w:rPr>
          <w:rFonts w:ascii="Dubai Light" w:hAnsi="Dubai Light" w:cs="Dubai Light" w:hint="cs"/>
          <w:sz w:val="24"/>
          <w:szCs w:val="24"/>
        </w:rPr>
      </w:pPr>
    </w:p>
    <w:p w:rsidR="001D7E1F" w:rsidRPr="00B2635E" w:rsidRDefault="001D7E1F" w:rsidP="00EA3A18">
      <w:pPr>
        <w:spacing w:after="160" w:line="259" w:lineRule="auto"/>
        <w:jc w:val="center"/>
        <w:rPr>
          <w:rFonts w:ascii="Dubai Light" w:hAnsi="Dubai Light" w:cs="Dubai Light" w:hint="cs"/>
          <w:sz w:val="24"/>
          <w:szCs w:val="24"/>
        </w:rPr>
      </w:pPr>
      <w:r w:rsidRPr="00B2635E">
        <w:rPr>
          <w:rFonts w:ascii="Dubai Light" w:hAnsi="Dubai Light" w:cs="Dubai Light" w:hint="cs"/>
          <w:b/>
          <w:bCs/>
          <w:sz w:val="24"/>
          <w:szCs w:val="24"/>
        </w:rPr>
        <w:t>Atenciones solicitadas al SPPAT en el 201</w:t>
      </w:r>
      <w:r w:rsidR="006C29FA" w:rsidRPr="00B2635E">
        <w:rPr>
          <w:rFonts w:ascii="Dubai Light" w:hAnsi="Dubai Light" w:cs="Dubai Light" w:hint="cs"/>
          <w:b/>
          <w:bCs/>
          <w:sz w:val="24"/>
          <w:szCs w:val="24"/>
        </w:rPr>
        <w:t>8</w:t>
      </w:r>
    </w:p>
    <w:p w:rsidR="001D7E1F" w:rsidRPr="00B2635E" w:rsidRDefault="00D7560D" w:rsidP="001D7E1F">
      <w:pPr>
        <w:pStyle w:val="Sinespaciado"/>
        <w:jc w:val="center"/>
        <w:rPr>
          <w:rFonts w:ascii="Dubai Light" w:hAnsi="Dubai Light" w:cs="Dubai Light" w:hint="cs"/>
          <w:sz w:val="24"/>
          <w:szCs w:val="24"/>
        </w:rPr>
      </w:pPr>
      <w:r w:rsidRPr="00B2635E">
        <w:rPr>
          <w:rFonts w:ascii="Dubai Light" w:hAnsi="Dubai Light" w:cs="Dubai Light" w:hint="cs"/>
          <w:noProof/>
          <w:sz w:val="24"/>
          <w:szCs w:val="24"/>
        </w:rPr>
        <w:lastRenderedPageBreak/>
        <w:drawing>
          <wp:inline distT="0" distB="0" distL="0" distR="0">
            <wp:extent cx="4149090" cy="3804285"/>
            <wp:effectExtent l="0" t="0" r="381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090" cy="3804285"/>
                    </a:xfrm>
                    <a:prstGeom prst="rect">
                      <a:avLst/>
                    </a:prstGeom>
                    <a:noFill/>
                    <a:ln>
                      <a:noFill/>
                    </a:ln>
                  </pic:spPr>
                </pic:pic>
              </a:graphicData>
            </a:graphic>
          </wp:inline>
        </w:drawing>
      </w:r>
    </w:p>
    <w:p w:rsidR="00AA2D1B" w:rsidRPr="00B2635E" w:rsidRDefault="001D7E1F" w:rsidP="00E51303">
      <w:pPr>
        <w:spacing w:line="360" w:lineRule="auto"/>
        <w:jc w:val="center"/>
        <w:rPr>
          <w:rFonts w:ascii="Dubai Light" w:eastAsia="Times New Roman" w:hAnsi="Dubai Light" w:cs="Dubai Light" w:hint="cs"/>
          <w:sz w:val="20"/>
          <w:szCs w:val="20"/>
          <w:lang w:eastAsia="es-EC"/>
        </w:rPr>
      </w:pPr>
      <w:r w:rsidRPr="00B2635E">
        <w:rPr>
          <w:rFonts w:ascii="Dubai Light" w:eastAsia="Times New Roman" w:hAnsi="Dubai Light" w:cs="Dubai Light" w:hint="cs"/>
          <w:sz w:val="20"/>
          <w:szCs w:val="20"/>
          <w:lang w:eastAsia="es-EC"/>
        </w:rPr>
        <w:t>Fuente: Dirección de Análisis de Protecciones</w:t>
      </w:r>
    </w:p>
    <w:p w:rsidR="001D7E1F" w:rsidRPr="00B2635E" w:rsidRDefault="001D7E1F" w:rsidP="00DD0F0B">
      <w:pPr>
        <w:spacing w:line="360" w:lineRule="auto"/>
        <w:jc w:val="both"/>
        <w:rPr>
          <w:rFonts w:ascii="Dubai Light" w:eastAsia="Times New Roman" w:hAnsi="Dubai Light" w:cs="Dubai Light" w:hint="cs"/>
          <w:b/>
          <w:sz w:val="24"/>
          <w:szCs w:val="24"/>
          <w:lang w:eastAsia="es-EC"/>
        </w:rPr>
      </w:pPr>
      <w:r w:rsidRPr="00B2635E">
        <w:rPr>
          <w:rFonts w:ascii="Dubai Light" w:eastAsia="Times New Roman" w:hAnsi="Dubai Light" w:cs="Dubai Light" w:hint="cs"/>
          <w:b/>
          <w:sz w:val="24"/>
          <w:szCs w:val="24"/>
          <w:lang w:eastAsia="es-EC"/>
        </w:rPr>
        <w:t>Beneficiarios de las protecciones SPPAT</w:t>
      </w:r>
    </w:p>
    <w:p w:rsidR="001D7E1F" w:rsidRPr="00B2635E" w:rsidRDefault="001D7E1F" w:rsidP="001D7E1F">
      <w:pPr>
        <w:jc w:val="both"/>
        <w:rPr>
          <w:rFonts w:ascii="Dubai Light" w:eastAsia="Times New Roman" w:hAnsi="Dubai Light" w:cs="Dubai Light" w:hint="cs"/>
          <w:sz w:val="24"/>
          <w:szCs w:val="24"/>
          <w:lang w:eastAsia="es-EC"/>
        </w:rPr>
      </w:pPr>
      <w:r w:rsidRPr="00B2635E">
        <w:rPr>
          <w:rFonts w:ascii="Dubai Light" w:eastAsia="Times New Roman" w:hAnsi="Dubai Light" w:cs="Dubai Light" w:hint="cs"/>
          <w:sz w:val="24"/>
          <w:szCs w:val="24"/>
          <w:lang w:eastAsia="es-EC"/>
        </w:rPr>
        <w:t xml:space="preserve">En lo que </w:t>
      </w:r>
      <w:r w:rsidR="00EA3A18" w:rsidRPr="00B2635E">
        <w:rPr>
          <w:rFonts w:ascii="Dubai Light" w:eastAsia="Times New Roman" w:hAnsi="Dubai Light" w:cs="Dubai Light" w:hint="cs"/>
          <w:sz w:val="24"/>
          <w:szCs w:val="24"/>
          <w:lang w:eastAsia="es-EC"/>
        </w:rPr>
        <w:t>se refiere</w:t>
      </w:r>
      <w:r w:rsidRPr="00B2635E">
        <w:rPr>
          <w:rFonts w:ascii="Dubai Light" w:eastAsia="Times New Roman" w:hAnsi="Dubai Light" w:cs="Dubai Light" w:hint="cs"/>
          <w:sz w:val="24"/>
          <w:szCs w:val="24"/>
          <w:lang w:eastAsia="es-EC"/>
        </w:rPr>
        <w:t xml:space="preserve"> al </w:t>
      </w:r>
      <w:r w:rsidR="00EA3A18" w:rsidRPr="00B2635E">
        <w:rPr>
          <w:rFonts w:ascii="Dubai Light" w:eastAsia="Times New Roman" w:hAnsi="Dubai Light" w:cs="Dubai Light" w:hint="cs"/>
          <w:sz w:val="24"/>
          <w:szCs w:val="24"/>
          <w:lang w:eastAsia="es-EC"/>
        </w:rPr>
        <w:t xml:space="preserve">año </w:t>
      </w:r>
      <w:r w:rsidRPr="00B2635E">
        <w:rPr>
          <w:rFonts w:ascii="Dubai Light" w:eastAsia="Times New Roman" w:hAnsi="Dubai Light" w:cs="Dubai Light" w:hint="cs"/>
          <w:sz w:val="24"/>
          <w:szCs w:val="24"/>
          <w:lang w:eastAsia="es-EC"/>
        </w:rPr>
        <w:t>201</w:t>
      </w:r>
      <w:r w:rsidR="00EA3A18" w:rsidRPr="00B2635E">
        <w:rPr>
          <w:rFonts w:ascii="Dubai Light" w:eastAsia="Times New Roman" w:hAnsi="Dubai Light" w:cs="Dubai Light" w:hint="cs"/>
          <w:sz w:val="24"/>
          <w:szCs w:val="24"/>
          <w:lang w:eastAsia="es-EC"/>
        </w:rPr>
        <w:t>8</w:t>
      </w:r>
      <w:r w:rsidRPr="00B2635E">
        <w:rPr>
          <w:rFonts w:ascii="Dubai Light" w:eastAsia="Times New Roman" w:hAnsi="Dubai Light" w:cs="Dubai Light" w:hint="cs"/>
          <w:sz w:val="24"/>
          <w:szCs w:val="24"/>
          <w:lang w:eastAsia="es-EC"/>
        </w:rPr>
        <w:t xml:space="preserve">, el SPPAT benefició a </w:t>
      </w:r>
      <w:r w:rsidR="00E51303" w:rsidRPr="00B2635E">
        <w:rPr>
          <w:rFonts w:ascii="Dubai Light" w:eastAsia="Times New Roman" w:hAnsi="Dubai Light" w:cs="Dubai Light" w:hint="cs"/>
          <w:sz w:val="24"/>
          <w:szCs w:val="24"/>
          <w:lang w:eastAsia="es-EC"/>
        </w:rPr>
        <w:t>34.074</w:t>
      </w:r>
      <w:r w:rsidRPr="00B2635E">
        <w:rPr>
          <w:rFonts w:ascii="Dubai Light" w:eastAsia="Times New Roman" w:hAnsi="Dubai Light" w:cs="Dubai Light" w:hint="cs"/>
          <w:sz w:val="24"/>
          <w:szCs w:val="24"/>
          <w:lang w:eastAsia="es-EC"/>
        </w:rPr>
        <w:t xml:space="preserve"> personas víctimas de siniestros de tránsito o sus familiares, lo que significó el pago de US$ </w:t>
      </w:r>
      <w:r w:rsidR="00EA3A18" w:rsidRPr="00B2635E">
        <w:rPr>
          <w:rFonts w:ascii="Dubai Light" w:eastAsia="Times New Roman" w:hAnsi="Dubai Light" w:cs="Dubai Light" w:hint="cs"/>
          <w:sz w:val="24"/>
          <w:szCs w:val="24"/>
          <w:lang w:eastAsia="es-EC"/>
        </w:rPr>
        <w:t>23</w:t>
      </w:r>
      <w:r w:rsidRPr="00B2635E">
        <w:rPr>
          <w:rFonts w:ascii="Dubai Light" w:eastAsia="Times New Roman" w:hAnsi="Dubai Light" w:cs="Dubai Light" w:hint="cs"/>
          <w:sz w:val="24"/>
          <w:szCs w:val="24"/>
          <w:lang w:eastAsia="es-EC"/>
        </w:rPr>
        <w:t>.</w:t>
      </w:r>
      <w:r w:rsidR="00E51303" w:rsidRPr="00B2635E">
        <w:rPr>
          <w:rFonts w:ascii="Dubai Light" w:eastAsia="Times New Roman" w:hAnsi="Dubai Light" w:cs="Dubai Light" w:hint="cs"/>
          <w:sz w:val="24"/>
          <w:szCs w:val="24"/>
          <w:lang w:eastAsia="es-EC"/>
        </w:rPr>
        <w:t>834</w:t>
      </w:r>
      <w:r w:rsidRPr="00B2635E">
        <w:rPr>
          <w:rFonts w:ascii="Dubai Light" w:eastAsia="Times New Roman" w:hAnsi="Dubai Light" w:cs="Dubai Light" w:hint="cs"/>
          <w:sz w:val="24"/>
          <w:szCs w:val="24"/>
          <w:lang w:eastAsia="es-EC"/>
        </w:rPr>
        <w:t>.</w:t>
      </w:r>
      <w:r w:rsidR="00E51303" w:rsidRPr="00B2635E">
        <w:rPr>
          <w:rFonts w:ascii="Dubai Light" w:eastAsia="Times New Roman" w:hAnsi="Dubai Light" w:cs="Dubai Light" w:hint="cs"/>
          <w:sz w:val="24"/>
          <w:szCs w:val="24"/>
          <w:lang w:eastAsia="es-EC"/>
        </w:rPr>
        <w:t>906</w:t>
      </w:r>
      <w:r w:rsidRPr="00B2635E">
        <w:rPr>
          <w:rFonts w:ascii="Dubai Light" w:eastAsia="Times New Roman" w:hAnsi="Dubai Light" w:cs="Dubai Light" w:hint="cs"/>
          <w:sz w:val="24"/>
          <w:szCs w:val="24"/>
          <w:lang w:eastAsia="es-EC"/>
        </w:rPr>
        <w:t>,86 dólares, como se muestra en el siguiente cuadro:</w:t>
      </w:r>
    </w:p>
    <w:p w:rsidR="001D7E1F" w:rsidRPr="00B2635E" w:rsidRDefault="001D7E1F" w:rsidP="001D7E1F">
      <w:pPr>
        <w:jc w:val="both"/>
        <w:rPr>
          <w:rFonts w:ascii="Dubai Light" w:eastAsia="Times New Roman" w:hAnsi="Dubai Light" w:cs="Dubai Light" w:hint="cs"/>
          <w:sz w:val="24"/>
          <w:szCs w:val="24"/>
          <w:lang w:eastAsia="es-EC"/>
        </w:rPr>
      </w:pPr>
    </w:p>
    <w:p w:rsidR="00DD0F0B" w:rsidRPr="00B2635E" w:rsidRDefault="00DD0F0B" w:rsidP="001D7E1F">
      <w:pPr>
        <w:jc w:val="both"/>
        <w:rPr>
          <w:rFonts w:ascii="Dubai Light" w:eastAsia="Times New Roman" w:hAnsi="Dubai Light" w:cs="Dubai Light" w:hint="cs"/>
          <w:sz w:val="24"/>
          <w:szCs w:val="24"/>
          <w:lang w:eastAsia="es-EC"/>
        </w:rPr>
      </w:pPr>
    </w:p>
    <w:p w:rsidR="00D7560D" w:rsidRPr="00B2635E" w:rsidRDefault="00D7560D" w:rsidP="001D7E1F">
      <w:pPr>
        <w:jc w:val="both"/>
        <w:rPr>
          <w:rFonts w:ascii="Dubai Light" w:eastAsia="Times New Roman" w:hAnsi="Dubai Light" w:cs="Dubai Light" w:hint="cs"/>
          <w:sz w:val="24"/>
          <w:szCs w:val="24"/>
          <w:lang w:eastAsia="es-EC"/>
        </w:rPr>
      </w:pPr>
    </w:p>
    <w:p w:rsidR="001D7E1F" w:rsidRPr="00B2635E" w:rsidRDefault="001D7E1F" w:rsidP="001D7E1F">
      <w:pPr>
        <w:pStyle w:val="Sinespaciado"/>
        <w:jc w:val="center"/>
        <w:rPr>
          <w:rFonts w:ascii="Dubai Light" w:hAnsi="Dubai Light" w:cs="Dubai Light" w:hint="cs"/>
          <w:b/>
          <w:bCs/>
          <w:sz w:val="24"/>
          <w:szCs w:val="24"/>
        </w:rPr>
      </w:pPr>
      <w:r w:rsidRPr="00B2635E">
        <w:rPr>
          <w:rFonts w:ascii="Dubai Light" w:hAnsi="Dubai Light" w:cs="Dubai Light" w:hint="cs"/>
          <w:b/>
          <w:bCs/>
          <w:sz w:val="24"/>
          <w:szCs w:val="24"/>
        </w:rPr>
        <w:t xml:space="preserve">Beneficiarios de las Protecciones otorgadas </w:t>
      </w:r>
    </w:p>
    <w:p w:rsidR="001D7E1F" w:rsidRPr="00B2635E" w:rsidRDefault="001D7E1F" w:rsidP="001D7E1F">
      <w:pPr>
        <w:pStyle w:val="Sinespaciado"/>
        <w:jc w:val="center"/>
        <w:rPr>
          <w:rFonts w:ascii="Dubai Light" w:hAnsi="Dubai Light" w:cs="Dubai Light" w:hint="cs"/>
          <w:sz w:val="24"/>
          <w:szCs w:val="24"/>
        </w:rPr>
      </w:pPr>
      <w:r w:rsidRPr="00B2635E">
        <w:rPr>
          <w:rFonts w:ascii="Dubai Light" w:hAnsi="Dubai Light" w:cs="Dubai Light" w:hint="cs"/>
          <w:b/>
          <w:bCs/>
          <w:sz w:val="24"/>
          <w:szCs w:val="24"/>
        </w:rPr>
        <w:t>por el SPPAT en el 201</w:t>
      </w:r>
      <w:r w:rsidR="00EA3A18" w:rsidRPr="00B2635E">
        <w:rPr>
          <w:rFonts w:ascii="Dubai Light" w:hAnsi="Dubai Light" w:cs="Dubai Light" w:hint="cs"/>
          <w:b/>
          <w:bCs/>
          <w:sz w:val="24"/>
          <w:szCs w:val="24"/>
        </w:rPr>
        <w:t>8</w:t>
      </w:r>
    </w:p>
    <w:p w:rsidR="001D7E1F" w:rsidRPr="00B2635E" w:rsidRDefault="001D7E1F" w:rsidP="001D7E1F">
      <w:pPr>
        <w:jc w:val="both"/>
        <w:rPr>
          <w:rFonts w:ascii="Dubai Light" w:eastAsia="Times New Roman" w:hAnsi="Dubai Light" w:cs="Dubai Light" w:hint="cs"/>
          <w:sz w:val="24"/>
          <w:szCs w:val="24"/>
          <w:lang w:eastAsia="es-EC"/>
        </w:rPr>
      </w:pPr>
    </w:p>
    <w:p w:rsidR="001D7E1F" w:rsidRPr="00B2635E" w:rsidRDefault="00E51303" w:rsidP="001D7E1F">
      <w:pPr>
        <w:spacing w:line="360" w:lineRule="auto"/>
        <w:ind w:firstLine="708"/>
        <w:jc w:val="center"/>
        <w:rPr>
          <w:rFonts w:ascii="Dubai Light" w:eastAsia="Times New Roman" w:hAnsi="Dubai Light" w:cs="Dubai Light" w:hint="cs"/>
          <w:sz w:val="24"/>
          <w:szCs w:val="24"/>
          <w:lang w:eastAsia="es-EC"/>
        </w:rPr>
      </w:pPr>
      <w:r w:rsidRPr="00B2635E">
        <w:rPr>
          <w:rFonts w:ascii="Dubai Light" w:eastAsia="Times New Roman" w:hAnsi="Dubai Light" w:cs="Dubai Light" w:hint="cs"/>
          <w:noProof/>
          <w:sz w:val="24"/>
          <w:szCs w:val="24"/>
          <w:lang w:eastAsia="es-EC"/>
        </w:rPr>
        <w:lastRenderedPageBreak/>
        <w:drawing>
          <wp:inline distT="0" distB="0" distL="0" distR="0">
            <wp:extent cx="4535093" cy="25241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7199" cy="2536429"/>
                    </a:xfrm>
                    <a:prstGeom prst="rect">
                      <a:avLst/>
                    </a:prstGeom>
                    <a:noFill/>
                    <a:ln>
                      <a:noFill/>
                    </a:ln>
                  </pic:spPr>
                </pic:pic>
              </a:graphicData>
            </a:graphic>
          </wp:inline>
        </w:drawing>
      </w:r>
    </w:p>
    <w:p w:rsidR="001D7E1F" w:rsidRPr="00B2635E" w:rsidRDefault="001D7E1F" w:rsidP="001D7E1F">
      <w:pPr>
        <w:spacing w:line="360" w:lineRule="auto"/>
        <w:ind w:firstLine="708"/>
        <w:jc w:val="center"/>
        <w:rPr>
          <w:rFonts w:ascii="Dubai Light" w:eastAsia="Times New Roman" w:hAnsi="Dubai Light" w:cs="Dubai Light" w:hint="cs"/>
          <w:sz w:val="20"/>
          <w:szCs w:val="20"/>
          <w:lang w:eastAsia="es-EC"/>
        </w:rPr>
      </w:pPr>
      <w:r w:rsidRPr="00B2635E">
        <w:rPr>
          <w:rFonts w:ascii="Dubai Light" w:eastAsia="Times New Roman" w:hAnsi="Dubai Light" w:cs="Dubai Light" w:hint="cs"/>
          <w:sz w:val="20"/>
          <w:szCs w:val="20"/>
          <w:lang w:eastAsia="es-EC"/>
        </w:rPr>
        <w:t>Fuente: Dirección Financiera</w:t>
      </w:r>
    </w:p>
    <w:p w:rsidR="00582805" w:rsidRPr="00B2635E" w:rsidRDefault="00582805" w:rsidP="00582805">
      <w:pPr>
        <w:pStyle w:val="Prrafodelista"/>
        <w:numPr>
          <w:ilvl w:val="0"/>
          <w:numId w:val="17"/>
        </w:num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GESTIÓN ADMINISTRATIVA</w:t>
      </w:r>
    </w:p>
    <w:p w:rsidR="00D7560D" w:rsidRPr="00B2635E" w:rsidRDefault="00D7560D" w:rsidP="00D7560D">
      <w:pPr>
        <w:pStyle w:val="Prrafodelista"/>
        <w:spacing w:after="160" w:line="259" w:lineRule="auto"/>
        <w:jc w:val="both"/>
        <w:rPr>
          <w:rFonts w:ascii="Dubai Light" w:hAnsi="Dubai Light" w:cs="Dubai Light" w:hint="cs"/>
          <w:b/>
          <w:sz w:val="24"/>
          <w:szCs w:val="24"/>
          <w:u w:val="single"/>
        </w:rPr>
      </w:pPr>
    </w:p>
    <w:p w:rsidR="00D7560D" w:rsidRPr="00B2635E" w:rsidRDefault="00D7560D" w:rsidP="00D7560D">
      <w:pPr>
        <w:pStyle w:val="Prrafodelista"/>
        <w:numPr>
          <w:ilvl w:val="0"/>
          <w:numId w:val="33"/>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El SPPAT mantiene un convenio interinstitucional de uso de áreas físicas de las instalaciones del edificio AVE MARIA piso 4 lado norte ubicado en la Av. Cristóbal Colon Nro. 728 y Avenida Amazonas con el Servicio de Gestión Inmobiliaria del Sector Público INMOBILIAR, convenio que fue suscrito el 11 de agosto de 2017, por un periodo de duración de un año, hasta el 11 de agosto de 2018, mismo que fue renovado por año adicional hasta el 11 de agosto de 2019; instalaciones que son utilizadas como bodega de archivo documental de la institución.</w:t>
      </w:r>
    </w:p>
    <w:p w:rsidR="00D7560D" w:rsidRPr="00B2635E" w:rsidRDefault="00D7560D" w:rsidP="00D7560D">
      <w:pPr>
        <w:pStyle w:val="Prrafodelista"/>
        <w:spacing w:after="160" w:line="259" w:lineRule="auto"/>
        <w:jc w:val="both"/>
        <w:rPr>
          <w:rFonts w:ascii="Dubai Light" w:hAnsi="Dubai Light" w:cs="Dubai Light" w:hint="cs"/>
          <w:sz w:val="24"/>
          <w:szCs w:val="24"/>
        </w:rPr>
      </w:pPr>
    </w:p>
    <w:p w:rsidR="00D7560D" w:rsidRPr="00B2635E" w:rsidRDefault="00D7560D" w:rsidP="00D7560D">
      <w:pPr>
        <w:pStyle w:val="Prrafodelista"/>
        <w:numPr>
          <w:ilvl w:val="0"/>
          <w:numId w:val="33"/>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Para garantizar la movilidad de los funcionarios, servidores y trabajadores que tengan que cumplir actividades fuera de la Institución, se cuenta con dos vehículos institucionales y se mantiene un contrato vigente de abastecimiento de combustible suscrito el 17 de julio de 2018 por el periodo de un año, con AUTOMÓVIL CLUB DEL ECUADOR, ANETA.</w:t>
      </w:r>
    </w:p>
    <w:p w:rsidR="00D7560D" w:rsidRPr="00B2635E" w:rsidRDefault="00D7560D" w:rsidP="00D7560D">
      <w:pPr>
        <w:pStyle w:val="Prrafodelista"/>
        <w:rPr>
          <w:rFonts w:ascii="Dubai Light" w:hAnsi="Dubai Light" w:cs="Dubai Light" w:hint="cs"/>
          <w:sz w:val="24"/>
          <w:szCs w:val="24"/>
        </w:rPr>
      </w:pPr>
    </w:p>
    <w:p w:rsidR="00D7560D" w:rsidRPr="00B2635E" w:rsidRDefault="00D7560D" w:rsidP="00D7560D">
      <w:pPr>
        <w:pStyle w:val="Prrafodelista"/>
        <w:numPr>
          <w:ilvl w:val="0"/>
          <w:numId w:val="33"/>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 xml:space="preserve">Para salvaguardar los bienes de la Institución contra los diferentes riesgos que puedan ocurrir, la Institución mantiene vigentes las pólizas de seguros en los siguientes ramos: </w:t>
      </w:r>
      <w:r w:rsidRPr="00B2635E">
        <w:rPr>
          <w:rFonts w:ascii="Dubai Light" w:hAnsi="Dubai Light" w:cs="Dubai Light" w:hint="cs"/>
          <w:sz w:val="24"/>
          <w:szCs w:val="24"/>
        </w:rPr>
        <w:lastRenderedPageBreak/>
        <w:t>incendio y líneas aliadas, robo, equipo electrónico, vehículos, rotura de maquinaria, responsabilidad civil y fidelidad (desde 01-01-2019 hasta 01-01-2020), contratación que fue adjudicada a la Aseguradora Seguros Sucre S.A. el 26 de diciembre de 2018.</w:t>
      </w:r>
    </w:p>
    <w:p w:rsidR="00D7560D" w:rsidRPr="00B2635E" w:rsidRDefault="00D7560D" w:rsidP="00D7560D">
      <w:pPr>
        <w:pStyle w:val="Prrafodelista"/>
        <w:rPr>
          <w:rFonts w:ascii="Dubai Light" w:hAnsi="Dubai Light" w:cs="Dubai Light" w:hint="cs"/>
          <w:sz w:val="24"/>
          <w:szCs w:val="24"/>
        </w:rPr>
      </w:pPr>
    </w:p>
    <w:p w:rsidR="00D7560D" w:rsidRPr="00B2635E" w:rsidRDefault="00D7560D" w:rsidP="00D7560D">
      <w:pPr>
        <w:pStyle w:val="Prrafodelista"/>
        <w:numPr>
          <w:ilvl w:val="0"/>
          <w:numId w:val="33"/>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Para la entrega de pasajes aéreos nacionales a los funcionarios y servidores de la Institución que requieren movilizarse a las diferentes ciudades del Ecuador para realizar actividades relacionados con su trabajo, se mantuvo un contrato con TAME EP, el cual estuvo vigente hasta el 18 de diciembre de 2018.</w:t>
      </w:r>
    </w:p>
    <w:p w:rsidR="00D7560D" w:rsidRPr="00B2635E" w:rsidRDefault="00D7560D" w:rsidP="00D7560D">
      <w:pPr>
        <w:spacing w:after="160" w:line="259" w:lineRule="auto"/>
        <w:jc w:val="both"/>
        <w:rPr>
          <w:rFonts w:ascii="Dubai Light" w:hAnsi="Dubai Light" w:cs="Dubai Light" w:hint="cs"/>
          <w:b/>
          <w:sz w:val="24"/>
          <w:szCs w:val="24"/>
          <w:u w:val="single"/>
        </w:rPr>
      </w:pPr>
    </w:p>
    <w:p w:rsidR="00D7560D" w:rsidRPr="00B2635E" w:rsidRDefault="00D7560D" w:rsidP="00D7560D">
      <w:pPr>
        <w:spacing w:after="160" w:line="259" w:lineRule="auto"/>
        <w:jc w:val="both"/>
        <w:rPr>
          <w:rFonts w:ascii="Dubai Light" w:hAnsi="Dubai Light" w:cs="Dubai Light" w:hint="cs"/>
          <w:b/>
          <w:sz w:val="24"/>
          <w:szCs w:val="24"/>
        </w:rPr>
      </w:pPr>
      <w:r w:rsidRPr="00B2635E">
        <w:rPr>
          <w:rFonts w:ascii="Dubai Light" w:hAnsi="Dubai Light" w:cs="Dubai Light" w:hint="cs"/>
          <w:b/>
          <w:sz w:val="24"/>
          <w:szCs w:val="24"/>
        </w:rPr>
        <w:t>Gestión de Control de Bienes y Trasporte</w:t>
      </w:r>
    </w:p>
    <w:p w:rsidR="00D7560D" w:rsidRPr="00B2635E" w:rsidRDefault="00D7560D" w:rsidP="00D7560D">
      <w:pPr>
        <w:spacing w:after="160" w:line="259" w:lineRule="auto"/>
        <w:jc w:val="both"/>
        <w:rPr>
          <w:rFonts w:ascii="Dubai Light" w:hAnsi="Dubai Light" w:cs="Dubai Light" w:hint="cs"/>
          <w:sz w:val="24"/>
          <w:szCs w:val="24"/>
        </w:rPr>
      </w:pPr>
    </w:p>
    <w:p w:rsidR="00D7560D" w:rsidRPr="00B2635E" w:rsidRDefault="00D7560D" w:rsidP="00D7560D">
      <w:pPr>
        <w:pStyle w:val="Prrafodelista"/>
        <w:numPr>
          <w:ilvl w:val="0"/>
          <w:numId w:val="37"/>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Se tramitó la Póliza de Seguros y matriculación de los dos vehículos institucionales.</w:t>
      </w:r>
    </w:p>
    <w:p w:rsidR="00D7560D" w:rsidRPr="00B2635E" w:rsidRDefault="00D7560D" w:rsidP="00D7560D">
      <w:pPr>
        <w:pStyle w:val="Prrafodelista"/>
        <w:numPr>
          <w:ilvl w:val="0"/>
          <w:numId w:val="36"/>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Se adquirió suministro de oficina y aseo, de lo cual, se mantiene el respectivo registro de ingresos y egresos de suministros.</w:t>
      </w:r>
    </w:p>
    <w:p w:rsidR="00D7560D" w:rsidRPr="00B2635E" w:rsidRDefault="00D7560D" w:rsidP="00D7560D">
      <w:pPr>
        <w:pStyle w:val="Prrafodelista"/>
        <w:numPr>
          <w:ilvl w:val="0"/>
          <w:numId w:val="35"/>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Todos los bienes entregados a los funcionarios / servidores - custodios, cuentan con las respectivas actas de entrega – recepción debidamente suscritas.</w:t>
      </w:r>
    </w:p>
    <w:p w:rsidR="00D7560D" w:rsidRPr="00B2635E" w:rsidRDefault="00D7560D" w:rsidP="00D7560D">
      <w:pPr>
        <w:pStyle w:val="Prrafodelista"/>
        <w:numPr>
          <w:ilvl w:val="0"/>
          <w:numId w:val="34"/>
        </w:numPr>
        <w:spacing w:after="160" w:line="259" w:lineRule="auto"/>
        <w:jc w:val="both"/>
        <w:rPr>
          <w:rFonts w:ascii="Dubai Light" w:hAnsi="Dubai Light" w:cs="Dubai Light" w:hint="cs"/>
          <w:sz w:val="24"/>
          <w:szCs w:val="24"/>
        </w:rPr>
      </w:pPr>
      <w:r w:rsidRPr="00B2635E">
        <w:rPr>
          <w:rFonts w:ascii="Dubai Light" w:hAnsi="Dubai Light" w:cs="Dubai Light" w:hint="cs"/>
          <w:sz w:val="24"/>
          <w:szCs w:val="24"/>
        </w:rPr>
        <w:t>Se gestionó con Seguros Sucre la aplicación del seguro de vehículos para cubrir los gastos generados por el siniestro de los vehículos propiedad de la institución.</w:t>
      </w:r>
    </w:p>
    <w:p w:rsidR="00582805" w:rsidRPr="00B2635E" w:rsidRDefault="00582805" w:rsidP="00582805">
      <w:pPr>
        <w:spacing w:after="0" w:line="240" w:lineRule="auto"/>
        <w:jc w:val="both"/>
        <w:rPr>
          <w:rFonts w:ascii="Dubai Light" w:hAnsi="Dubai Light" w:cs="Dubai Light" w:hint="cs"/>
          <w:sz w:val="24"/>
          <w:szCs w:val="24"/>
        </w:rPr>
      </w:pPr>
    </w:p>
    <w:p w:rsidR="00582805" w:rsidRPr="00B2635E" w:rsidRDefault="00582805" w:rsidP="00582805">
      <w:pPr>
        <w:spacing w:after="0" w:line="240" w:lineRule="auto"/>
        <w:jc w:val="both"/>
        <w:rPr>
          <w:rFonts w:ascii="Dubai Light" w:hAnsi="Dubai Light" w:cs="Dubai Light" w:hint="cs"/>
          <w:sz w:val="24"/>
          <w:szCs w:val="24"/>
        </w:rPr>
      </w:pPr>
      <w:r w:rsidRPr="00B2635E">
        <w:rPr>
          <w:rFonts w:ascii="Dubai Light" w:hAnsi="Dubai Light" w:cs="Dubai Light" w:hint="cs"/>
          <w:sz w:val="24"/>
          <w:szCs w:val="24"/>
        </w:rPr>
        <w:t>En el año 2018 se realizaron contrataciones por un monto total de USD $1.490,400.46 sin incluir IVA. A continuación, el detalle:</w:t>
      </w:r>
    </w:p>
    <w:p w:rsidR="00582805" w:rsidRPr="00B2635E" w:rsidRDefault="00582805" w:rsidP="00582805">
      <w:pPr>
        <w:spacing w:after="0" w:line="240" w:lineRule="auto"/>
        <w:jc w:val="both"/>
        <w:rPr>
          <w:rFonts w:ascii="Dubai Light" w:hAnsi="Dubai Light" w:cs="Dubai Light" w:hint="cs"/>
          <w:sz w:val="24"/>
          <w:szCs w:val="24"/>
        </w:rPr>
      </w:pPr>
    </w:p>
    <w:p w:rsidR="00582805" w:rsidRPr="00B2635E" w:rsidRDefault="00582805" w:rsidP="00582805">
      <w:pPr>
        <w:pStyle w:val="Prrafodelista"/>
        <w:spacing w:after="0" w:line="240" w:lineRule="auto"/>
        <w:ind w:left="450"/>
        <w:rPr>
          <w:rFonts w:ascii="Dubai Light" w:hAnsi="Dubai Light" w:cs="Dubai Light" w:hint="cs"/>
          <w:sz w:val="24"/>
          <w:szCs w:val="24"/>
        </w:rPr>
      </w:pPr>
    </w:p>
    <w:tbl>
      <w:tblPr>
        <w:tblW w:w="4600" w:type="dxa"/>
        <w:jc w:val="center"/>
        <w:tblCellMar>
          <w:left w:w="70" w:type="dxa"/>
          <w:right w:w="70" w:type="dxa"/>
        </w:tblCellMar>
        <w:tblLook w:val="04A0" w:firstRow="1" w:lastRow="0" w:firstColumn="1" w:lastColumn="0" w:noHBand="0" w:noVBand="1"/>
      </w:tblPr>
      <w:tblGrid>
        <w:gridCol w:w="2800"/>
        <w:gridCol w:w="1800"/>
      </w:tblGrid>
      <w:tr w:rsidR="00582805" w:rsidRPr="00B2635E" w:rsidTr="00C975B6">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jc w:val="center"/>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 xml:space="preserve">DESCRIPCIÓN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jc w:val="center"/>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MONTO</w:t>
            </w:r>
          </w:p>
        </w:tc>
      </w:tr>
      <w:tr w:rsidR="00582805" w:rsidRPr="00B2635E" w:rsidTr="00C975B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24"/>
                <w:szCs w:val="24"/>
                <w:lang w:eastAsia="es-EC"/>
              </w:rPr>
              <w:t>CONTRATOS 2018</w:t>
            </w:r>
          </w:p>
        </w:tc>
        <w:tc>
          <w:tcPr>
            <w:tcW w:w="1800" w:type="dxa"/>
            <w:tcBorders>
              <w:top w:val="nil"/>
              <w:left w:val="nil"/>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jc w:val="right"/>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24"/>
                <w:szCs w:val="24"/>
                <w:lang w:eastAsia="es-EC"/>
              </w:rPr>
              <w:t>1,460,013.76</w:t>
            </w:r>
          </w:p>
        </w:tc>
      </w:tr>
      <w:tr w:rsidR="00582805" w:rsidRPr="00B2635E" w:rsidTr="00C975B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24"/>
                <w:szCs w:val="24"/>
                <w:lang w:eastAsia="es-EC"/>
              </w:rPr>
              <w:t>CATÁLOGO ELECTRÓNICO</w:t>
            </w:r>
          </w:p>
        </w:tc>
        <w:tc>
          <w:tcPr>
            <w:tcW w:w="1800" w:type="dxa"/>
            <w:tcBorders>
              <w:top w:val="nil"/>
              <w:left w:val="nil"/>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jc w:val="right"/>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24"/>
                <w:szCs w:val="24"/>
                <w:lang w:eastAsia="es-EC"/>
              </w:rPr>
              <w:t>7,568.61</w:t>
            </w:r>
          </w:p>
        </w:tc>
      </w:tr>
      <w:tr w:rsidR="00582805" w:rsidRPr="00B2635E" w:rsidTr="00C975B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24"/>
                <w:szCs w:val="24"/>
                <w:lang w:eastAsia="es-EC"/>
              </w:rPr>
              <w:t xml:space="preserve">ÍNFIMA CUANTÍA </w:t>
            </w:r>
          </w:p>
        </w:tc>
        <w:tc>
          <w:tcPr>
            <w:tcW w:w="1800" w:type="dxa"/>
            <w:tcBorders>
              <w:top w:val="nil"/>
              <w:left w:val="nil"/>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jc w:val="right"/>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24"/>
                <w:szCs w:val="24"/>
                <w:lang w:eastAsia="es-EC"/>
              </w:rPr>
              <w:t>22,818.09</w:t>
            </w:r>
          </w:p>
        </w:tc>
      </w:tr>
      <w:tr w:rsidR="00582805" w:rsidRPr="00B2635E" w:rsidTr="00C975B6">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lastRenderedPageBreak/>
              <w:t>TOTAL</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82805" w:rsidRPr="00B2635E" w:rsidRDefault="00582805" w:rsidP="00C975B6">
            <w:pPr>
              <w:spacing w:after="0" w:line="240" w:lineRule="auto"/>
              <w:jc w:val="right"/>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24"/>
                <w:szCs w:val="24"/>
                <w:lang w:eastAsia="es-EC"/>
              </w:rPr>
              <w:t>1,490,400.46</w:t>
            </w:r>
          </w:p>
        </w:tc>
      </w:tr>
      <w:tr w:rsidR="00582805" w:rsidRPr="00B2635E" w:rsidTr="00C975B6">
        <w:trPr>
          <w:trHeight w:val="300"/>
          <w:jc w:val="center"/>
        </w:trPr>
        <w:tc>
          <w:tcPr>
            <w:tcW w:w="4600" w:type="dxa"/>
            <w:gridSpan w:val="2"/>
            <w:shd w:val="clear" w:color="auto" w:fill="auto"/>
            <w:noWrap/>
            <w:vAlign w:val="bottom"/>
          </w:tcPr>
          <w:p w:rsidR="00582805" w:rsidRPr="00B2635E" w:rsidRDefault="00582805" w:rsidP="00C975B6">
            <w:pPr>
              <w:spacing w:after="0" w:line="240" w:lineRule="auto"/>
              <w:rPr>
                <w:rFonts w:ascii="Dubai Light" w:eastAsia="Times New Roman" w:hAnsi="Dubai Light" w:cs="Dubai Light" w:hint="cs"/>
                <w:color w:val="000000"/>
                <w:sz w:val="16"/>
                <w:szCs w:val="16"/>
                <w:lang w:eastAsia="es-EC"/>
              </w:rPr>
            </w:pPr>
            <w:r w:rsidRPr="00B2635E">
              <w:rPr>
                <w:rFonts w:ascii="Dubai Light" w:eastAsia="Times New Roman" w:hAnsi="Dubai Light" w:cs="Dubai Light" w:hint="cs"/>
                <w:color w:val="000000"/>
                <w:sz w:val="24"/>
                <w:szCs w:val="24"/>
                <w:lang w:eastAsia="es-EC"/>
              </w:rPr>
              <w:t>*</w:t>
            </w:r>
            <w:r w:rsidRPr="00B2635E">
              <w:rPr>
                <w:rFonts w:ascii="Dubai Light" w:eastAsia="Times New Roman" w:hAnsi="Dubai Light" w:cs="Dubai Light" w:hint="cs"/>
                <w:color w:val="000000"/>
                <w:sz w:val="16"/>
                <w:szCs w:val="16"/>
                <w:lang w:eastAsia="es-EC"/>
              </w:rPr>
              <w:t xml:space="preserve">Los valores no incluyen IVA. </w:t>
            </w:r>
          </w:p>
          <w:p w:rsidR="00582805" w:rsidRPr="00B2635E" w:rsidRDefault="00582805" w:rsidP="00C975B6">
            <w:pPr>
              <w:spacing w:after="0" w:line="240" w:lineRule="auto"/>
              <w:rPr>
                <w:rFonts w:ascii="Dubai Light" w:eastAsia="Times New Roman" w:hAnsi="Dubai Light" w:cs="Dubai Light" w:hint="cs"/>
                <w:color w:val="000000"/>
                <w:sz w:val="24"/>
                <w:szCs w:val="24"/>
                <w:lang w:eastAsia="es-EC"/>
              </w:rPr>
            </w:pPr>
            <w:r w:rsidRPr="00B2635E">
              <w:rPr>
                <w:rFonts w:ascii="Dubai Light" w:eastAsia="Times New Roman" w:hAnsi="Dubai Light" w:cs="Dubai Light" w:hint="cs"/>
                <w:color w:val="000000"/>
                <w:sz w:val="16"/>
                <w:szCs w:val="16"/>
                <w:lang w:eastAsia="es-EC"/>
              </w:rPr>
              <w:t>Fuente: Dirección Administrativa</w:t>
            </w:r>
            <w:r w:rsidRPr="00B2635E">
              <w:rPr>
                <w:rFonts w:ascii="Dubai Light" w:eastAsia="Times New Roman" w:hAnsi="Dubai Light" w:cs="Dubai Light" w:hint="cs"/>
                <w:color w:val="000000"/>
                <w:sz w:val="24"/>
                <w:szCs w:val="24"/>
                <w:lang w:eastAsia="es-EC"/>
              </w:rPr>
              <w:t xml:space="preserve"> </w:t>
            </w:r>
          </w:p>
        </w:tc>
      </w:tr>
    </w:tbl>
    <w:p w:rsidR="00582805" w:rsidRPr="00B2635E" w:rsidRDefault="00582805" w:rsidP="00582805">
      <w:pPr>
        <w:jc w:val="both"/>
        <w:rPr>
          <w:rFonts w:ascii="Dubai Light" w:hAnsi="Dubai Light" w:cs="Dubai Light" w:hint="cs"/>
          <w:sz w:val="24"/>
          <w:szCs w:val="24"/>
        </w:rPr>
      </w:pPr>
    </w:p>
    <w:p w:rsidR="00942463" w:rsidRPr="00B2635E" w:rsidRDefault="00942463" w:rsidP="00942463">
      <w:pPr>
        <w:spacing w:after="0" w:line="240" w:lineRule="auto"/>
        <w:ind w:left="284"/>
        <w:rPr>
          <w:rFonts w:ascii="Dubai Light" w:hAnsi="Dubai Light" w:cs="Dubai Light" w:hint="cs"/>
          <w:b/>
          <w:sz w:val="24"/>
          <w:szCs w:val="24"/>
        </w:rPr>
      </w:pPr>
      <w:r w:rsidRPr="00B2635E">
        <w:rPr>
          <w:rFonts w:ascii="Dubai Light" w:hAnsi="Dubai Light" w:cs="Dubai Light" w:hint="cs"/>
          <w:b/>
          <w:sz w:val="24"/>
          <w:szCs w:val="24"/>
        </w:rPr>
        <w:t>Procesos de contratación 2018</w:t>
      </w:r>
    </w:p>
    <w:p w:rsidR="00942463" w:rsidRPr="00B2635E" w:rsidRDefault="00942463" w:rsidP="00942463">
      <w:pPr>
        <w:spacing w:after="0" w:line="240" w:lineRule="auto"/>
        <w:rPr>
          <w:rFonts w:ascii="Dubai Light" w:hAnsi="Dubai Light" w:cs="Dubai Light" w:hint="cs"/>
          <w:b/>
          <w:sz w:val="24"/>
          <w:szCs w:val="24"/>
        </w:rPr>
      </w:pPr>
    </w:p>
    <w:p w:rsidR="00942463" w:rsidRPr="00B2635E" w:rsidRDefault="00942463" w:rsidP="00F64FAE">
      <w:pPr>
        <w:spacing w:after="0" w:line="240" w:lineRule="auto"/>
        <w:ind w:left="284"/>
        <w:jc w:val="both"/>
        <w:rPr>
          <w:rFonts w:ascii="Dubai Light" w:hAnsi="Dubai Light" w:cs="Dubai Light" w:hint="cs"/>
          <w:sz w:val="24"/>
          <w:szCs w:val="24"/>
        </w:rPr>
      </w:pPr>
      <w:r w:rsidRPr="00B2635E">
        <w:rPr>
          <w:rFonts w:ascii="Dubai Light" w:hAnsi="Dubai Light" w:cs="Dubai Light" w:hint="cs"/>
          <w:sz w:val="24"/>
          <w:szCs w:val="24"/>
        </w:rPr>
        <w:t>En el año 2018 se llevó a cabo el procedimiento  de concurso público de consultoría, cuyo objeto de contratación fue “</w:t>
      </w:r>
      <w:r w:rsidRPr="00B2635E">
        <w:rPr>
          <w:rFonts w:ascii="Dubai Light" w:hAnsi="Dubai Light" w:cs="Dubai Light" w:hint="cs"/>
          <w:i/>
          <w:sz w:val="24"/>
          <w:szCs w:val="24"/>
        </w:rPr>
        <w:t>contratar una consultoría que realice la auditoría a los expedientes por accidentes de tránsito presentados por los prestadores de salud y personas naturales, garantizando el cumplimiento de cada una de las fases del proceso: control documental, control técnico médico y control de tarifas y liquidación, por lo tanto, se deberá realizar: la identificación de expedientes, clasificación de documentos</w:t>
      </w:r>
      <w:r w:rsidRPr="00B2635E">
        <w:rPr>
          <w:rFonts w:ascii="Dubai Light" w:hAnsi="Dubai Light" w:cs="Dubai Light" w:hint="cs"/>
          <w:sz w:val="24"/>
          <w:szCs w:val="24"/>
        </w:rPr>
        <w:t>”, con un presupuesto referencial USD $1,561,530.01, proceso en el cual participaron los siguiente oferentes: H MARCILLO AUDITORÍAS MÉDICAS S.A., R.DES SERVICIOS CORPORATIVOS CIA. LTDA. y ALMELLER ASESORES COMPAÑÍA, siendo adjudicado a la compañía R.DES SERVICIOS CORPORATIVOS CIA. LTDA. por un valor de USD $1,418,467.01, con un ahorro del USD $143,063.00 que corresponde a un 9.16 % del presupuesto referencial.</w:t>
      </w:r>
      <w:r w:rsidR="00F64FAE" w:rsidRPr="00B2635E">
        <w:rPr>
          <w:rFonts w:ascii="Dubai Light" w:hAnsi="Dubai Light" w:cs="Dubai Light" w:hint="cs"/>
          <w:sz w:val="24"/>
          <w:szCs w:val="24"/>
        </w:rPr>
        <w:t xml:space="preserve"> En seguida el detalle de los </w:t>
      </w:r>
      <w:r w:rsidR="00957091" w:rsidRPr="00B2635E">
        <w:rPr>
          <w:rFonts w:ascii="Dubai Light" w:hAnsi="Dubai Light" w:cs="Dubai Light" w:hint="cs"/>
          <w:sz w:val="24"/>
          <w:szCs w:val="24"/>
        </w:rPr>
        <w:t>procesos contractuales</w:t>
      </w:r>
      <w:r w:rsidR="00F64FAE" w:rsidRPr="00B2635E">
        <w:rPr>
          <w:rFonts w:ascii="Dubai Light" w:hAnsi="Dubai Light" w:cs="Dubai Light" w:hint="cs"/>
          <w:sz w:val="24"/>
          <w:szCs w:val="24"/>
        </w:rPr>
        <w:t xml:space="preserve">. </w:t>
      </w:r>
    </w:p>
    <w:p w:rsidR="00942463" w:rsidRPr="00B2635E" w:rsidRDefault="00942463" w:rsidP="00942463">
      <w:pPr>
        <w:spacing w:after="0" w:line="240" w:lineRule="auto"/>
        <w:rPr>
          <w:rFonts w:ascii="Dubai Light" w:hAnsi="Dubai Light" w:cs="Dubai Light" w:hint="cs"/>
          <w:b/>
          <w:sz w:val="24"/>
          <w:szCs w:val="24"/>
        </w:rPr>
      </w:pPr>
    </w:p>
    <w:p w:rsidR="00942463" w:rsidRPr="00B2635E" w:rsidRDefault="00942463" w:rsidP="00942463">
      <w:pPr>
        <w:spacing w:after="0" w:line="240" w:lineRule="auto"/>
        <w:rPr>
          <w:rFonts w:ascii="Dubai Light" w:hAnsi="Dubai Light" w:cs="Dubai Light" w:hint="cs"/>
          <w:b/>
          <w:sz w:val="24"/>
          <w:szCs w:val="24"/>
        </w:rPr>
      </w:pPr>
    </w:p>
    <w:p w:rsidR="00942463" w:rsidRPr="00B2635E" w:rsidRDefault="00942463" w:rsidP="00942463">
      <w:pPr>
        <w:spacing w:after="0" w:line="240" w:lineRule="auto"/>
        <w:rPr>
          <w:rFonts w:ascii="Dubai Light" w:hAnsi="Dubai Light" w:cs="Dubai Light" w:hint="cs"/>
          <w:b/>
          <w:sz w:val="24"/>
          <w:szCs w:val="24"/>
        </w:rPr>
      </w:pPr>
    </w:p>
    <w:p w:rsidR="00942463" w:rsidRPr="00B2635E" w:rsidRDefault="00942463" w:rsidP="00942463">
      <w:pPr>
        <w:spacing w:after="0" w:line="240" w:lineRule="auto"/>
        <w:rPr>
          <w:rFonts w:ascii="Dubai Light" w:hAnsi="Dubai Light" w:cs="Dubai Light" w:hint="cs"/>
          <w:b/>
          <w:sz w:val="24"/>
          <w:szCs w:val="24"/>
        </w:rPr>
      </w:pPr>
    </w:p>
    <w:p w:rsidR="00942463" w:rsidRPr="00B2635E" w:rsidRDefault="00942463" w:rsidP="00942463">
      <w:pPr>
        <w:spacing w:after="0" w:line="240" w:lineRule="auto"/>
        <w:rPr>
          <w:rFonts w:ascii="Dubai Light" w:hAnsi="Dubai Light" w:cs="Dubai Light" w:hint="cs"/>
          <w:b/>
          <w:sz w:val="24"/>
          <w:szCs w:val="24"/>
        </w:rPr>
      </w:pPr>
    </w:p>
    <w:tbl>
      <w:tblPr>
        <w:tblpPr w:leftFromText="141" w:rightFromText="141" w:vertAnchor="text" w:horzAnchor="margin" w:tblpXSpec="center" w:tblpY="-13"/>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1455"/>
        <w:gridCol w:w="922"/>
        <w:gridCol w:w="1587"/>
        <w:gridCol w:w="1050"/>
        <w:gridCol w:w="1200"/>
        <w:gridCol w:w="1041"/>
        <w:gridCol w:w="1137"/>
        <w:gridCol w:w="915"/>
        <w:gridCol w:w="1144"/>
      </w:tblGrid>
      <w:tr w:rsidR="00942463" w:rsidRPr="00B2635E" w:rsidTr="00DC6176">
        <w:trPr>
          <w:trHeight w:val="416"/>
          <w:tblHeader/>
        </w:trPr>
        <w:tc>
          <w:tcPr>
            <w:tcW w:w="705"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lastRenderedPageBreak/>
              <w:t>Código</w:t>
            </w:r>
          </w:p>
        </w:tc>
        <w:tc>
          <w:tcPr>
            <w:tcW w:w="1457"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Objeto del Proceso</w:t>
            </w:r>
          </w:p>
        </w:tc>
        <w:tc>
          <w:tcPr>
            <w:tcW w:w="928"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Estado del Proceso</w:t>
            </w:r>
          </w:p>
        </w:tc>
        <w:tc>
          <w:tcPr>
            <w:tcW w:w="1591"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Contratista</w:t>
            </w:r>
          </w:p>
        </w:tc>
        <w:tc>
          <w:tcPr>
            <w:tcW w:w="1053"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RUC</w:t>
            </w:r>
          </w:p>
        </w:tc>
        <w:tc>
          <w:tcPr>
            <w:tcW w:w="1200"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Monto Adjudicado sin IVA</w:t>
            </w:r>
          </w:p>
        </w:tc>
        <w:tc>
          <w:tcPr>
            <w:tcW w:w="1041"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Fecha de suscripción del Ctto.</w:t>
            </w:r>
          </w:p>
        </w:tc>
        <w:tc>
          <w:tcPr>
            <w:tcW w:w="1137"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Forma de Pago</w:t>
            </w:r>
          </w:p>
        </w:tc>
        <w:tc>
          <w:tcPr>
            <w:tcW w:w="915"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 xml:space="preserve">Plazo de Ejecución </w:t>
            </w:r>
          </w:p>
        </w:tc>
        <w:tc>
          <w:tcPr>
            <w:tcW w:w="1144"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Fecha de Terminación del Ctto.</w:t>
            </w:r>
          </w:p>
        </w:tc>
      </w:tr>
      <w:tr w:rsidR="00942463" w:rsidRPr="00B2635E" w:rsidTr="00DC6176">
        <w:trPr>
          <w:trHeight w:val="1665"/>
        </w:trPr>
        <w:tc>
          <w:tcPr>
            <w:tcW w:w="705" w:type="dxa"/>
            <w:shd w:val="clear" w:color="auto" w:fill="auto"/>
            <w:vAlign w:val="center"/>
          </w:tcPr>
          <w:p w:rsidR="00942463" w:rsidRPr="00B2635E" w:rsidRDefault="00580780" w:rsidP="00C975B6">
            <w:pPr>
              <w:spacing w:after="0" w:line="240" w:lineRule="auto"/>
              <w:jc w:val="center"/>
              <w:rPr>
                <w:rFonts w:ascii="Dubai Light" w:eastAsia="Times New Roman" w:hAnsi="Dubai Light" w:cs="Dubai Light" w:hint="cs"/>
                <w:color w:val="0563C1"/>
                <w:sz w:val="18"/>
                <w:szCs w:val="18"/>
                <w:u w:val="single"/>
                <w:lang w:eastAsia="es-EC"/>
              </w:rPr>
            </w:pPr>
            <w:hyperlink r:id="rId9" w:history="1">
              <w:r w:rsidR="00942463" w:rsidRPr="00B2635E">
                <w:rPr>
                  <w:rFonts w:ascii="Dubai Light" w:eastAsia="Times New Roman" w:hAnsi="Dubai Light" w:cs="Dubai Light" w:hint="cs"/>
                  <w:color w:val="0563C1"/>
                  <w:sz w:val="18"/>
                  <w:szCs w:val="18"/>
                  <w:u w:val="single"/>
                  <w:lang w:eastAsia="es-EC"/>
                </w:rPr>
                <w:t xml:space="preserve">CPC-SPPAT-001-2018-1 </w:t>
              </w:r>
            </w:hyperlink>
          </w:p>
        </w:tc>
        <w:tc>
          <w:tcPr>
            <w:tcW w:w="1457" w:type="dxa"/>
            <w:shd w:val="clear" w:color="auto" w:fill="auto"/>
            <w:vAlign w:val="center"/>
          </w:tcPr>
          <w:p w:rsidR="00942463" w:rsidRPr="00B2635E" w:rsidRDefault="00942463" w:rsidP="00C975B6">
            <w:pPr>
              <w:spacing w:after="0" w:line="240" w:lineRule="auto"/>
              <w:jc w:val="both"/>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CONTRATAR UNA CONSULTORÍA QUE REALICE LA AUDITORÍA A LOS EXPEDIENTES POR ACCIDENTES DE TRÁNSITO PRESENTADOS POR LOS PRESTADORES DE SALUD Y PERSONAS NATURALES, GARANTIZANDO EL CUMPLIMIENTO DE CADA UNA DE LAS FASES DEL PROCESO: CONTROL DOCUMENTAL, CONTROL TÉCNICO MÉDICO Y CONTROL DE TARIFAS Y LIQUIDACIÓN, POR LO TANTO, SE DEBERÁ REALIZAR: LA IDENTIFICACIÓN DE EXPEDIENTES, CLASIFICACIÓN DE DOCUMENTOS</w:t>
            </w:r>
          </w:p>
        </w:tc>
        <w:tc>
          <w:tcPr>
            <w:tcW w:w="928" w:type="dxa"/>
            <w:shd w:val="clear" w:color="auto" w:fill="F2F2F2" w:themeFill="background1" w:themeFillShade="F2"/>
            <w:vAlign w:val="center"/>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Ejecución de Contrato</w:t>
            </w:r>
          </w:p>
        </w:tc>
        <w:tc>
          <w:tcPr>
            <w:tcW w:w="1591" w:type="dxa"/>
            <w:shd w:val="clear" w:color="auto" w:fill="auto"/>
            <w:vAlign w:val="center"/>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 xml:space="preserve">R.DES SERVICIOS </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 xml:space="preserve">CORPORATIVOS </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CIA. LTDA.</w:t>
            </w:r>
          </w:p>
        </w:tc>
        <w:tc>
          <w:tcPr>
            <w:tcW w:w="1053" w:type="dxa"/>
            <w:shd w:val="clear" w:color="auto" w:fill="auto"/>
            <w:vAlign w:val="center"/>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179194120</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9001</w:t>
            </w:r>
          </w:p>
        </w:tc>
        <w:tc>
          <w:tcPr>
            <w:tcW w:w="1200" w:type="dxa"/>
            <w:shd w:val="clear" w:color="auto" w:fill="auto"/>
            <w:noWrap/>
            <w:vAlign w:val="center"/>
          </w:tcPr>
          <w:p w:rsidR="00942463" w:rsidRPr="00B2635E" w:rsidRDefault="00942463" w:rsidP="00C975B6">
            <w:pPr>
              <w:spacing w:after="0" w:line="240" w:lineRule="auto"/>
              <w:jc w:val="right"/>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1,418,467.01</w:t>
            </w:r>
          </w:p>
        </w:tc>
        <w:tc>
          <w:tcPr>
            <w:tcW w:w="1041" w:type="dxa"/>
            <w:shd w:val="clear" w:color="auto" w:fill="auto"/>
            <w:noWrap/>
            <w:vAlign w:val="center"/>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03-may-2018</w:t>
            </w:r>
          </w:p>
        </w:tc>
        <w:tc>
          <w:tcPr>
            <w:tcW w:w="1137" w:type="dxa"/>
            <w:shd w:val="clear" w:color="auto" w:fill="auto"/>
            <w:noWrap/>
            <w:vAlign w:val="center"/>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20% ANTICIPO</w:t>
            </w:r>
            <w:r w:rsidRPr="00B2635E">
              <w:rPr>
                <w:rFonts w:ascii="Dubai Light" w:eastAsia="Times New Roman" w:hAnsi="Dubai Light" w:cs="Dubai Light" w:hint="cs"/>
                <w:color w:val="000000"/>
                <w:sz w:val="18"/>
                <w:szCs w:val="18"/>
                <w:lang w:eastAsia="es-EC"/>
              </w:rPr>
              <w:br/>
              <w:t>PAGOS MENSUALES</w:t>
            </w:r>
          </w:p>
        </w:tc>
        <w:tc>
          <w:tcPr>
            <w:tcW w:w="915" w:type="dxa"/>
            <w:shd w:val="clear" w:color="auto" w:fill="auto"/>
            <w:noWrap/>
            <w:vAlign w:val="center"/>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 xml:space="preserve">365 </w:t>
            </w:r>
            <w:proofErr w:type="gramStart"/>
            <w:r w:rsidRPr="00B2635E">
              <w:rPr>
                <w:rFonts w:ascii="Dubai Light" w:eastAsia="Times New Roman" w:hAnsi="Dubai Light" w:cs="Dubai Light" w:hint="cs"/>
                <w:color w:val="000000"/>
                <w:sz w:val="18"/>
                <w:szCs w:val="18"/>
                <w:lang w:eastAsia="es-EC"/>
              </w:rPr>
              <w:t>A</w:t>
            </w:r>
            <w:proofErr w:type="gramEnd"/>
            <w:r w:rsidRPr="00B2635E">
              <w:rPr>
                <w:rFonts w:ascii="Dubai Light" w:eastAsia="Times New Roman" w:hAnsi="Dubai Light" w:cs="Dubai Light" w:hint="cs"/>
                <w:color w:val="000000"/>
                <w:sz w:val="18"/>
                <w:szCs w:val="18"/>
                <w:lang w:eastAsia="es-EC"/>
              </w:rPr>
              <w:t xml:space="preserve"> PARTIR DEL ANTICIPO</w:t>
            </w:r>
          </w:p>
        </w:tc>
        <w:tc>
          <w:tcPr>
            <w:tcW w:w="1144" w:type="dxa"/>
            <w:shd w:val="clear" w:color="auto" w:fill="auto"/>
            <w:noWrap/>
            <w:vAlign w:val="center"/>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17/5/2019</w:t>
            </w:r>
          </w:p>
        </w:tc>
      </w:tr>
      <w:tr w:rsidR="00942463" w:rsidRPr="00B2635E" w:rsidTr="00DC6176">
        <w:trPr>
          <w:trHeight w:val="1665"/>
        </w:trPr>
        <w:tc>
          <w:tcPr>
            <w:tcW w:w="705" w:type="dxa"/>
            <w:shd w:val="clear" w:color="auto" w:fill="auto"/>
            <w:vAlign w:val="center"/>
            <w:hideMark/>
          </w:tcPr>
          <w:p w:rsidR="00942463" w:rsidRPr="00B2635E" w:rsidRDefault="00580780" w:rsidP="00C975B6">
            <w:pPr>
              <w:spacing w:after="0" w:line="240" w:lineRule="auto"/>
              <w:rPr>
                <w:rFonts w:ascii="Dubai Light" w:eastAsia="Times New Roman" w:hAnsi="Dubai Light" w:cs="Dubai Light" w:hint="cs"/>
                <w:color w:val="0563C1"/>
                <w:sz w:val="18"/>
                <w:szCs w:val="18"/>
                <w:u w:val="single"/>
                <w:lang w:eastAsia="es-EC"/>
              </w:rPr>
            </w:pPr>
            <w:hyperlink r:id="rId10" w:history="1">
              <w:r w:rsidR="00942463" w:rsidRPr="00B2635E">
                <w:rPr>
                  <w:rFonts w:ascii="Dubai Light" w:eastAsia="Times New Roman" w:hAnsi="Dubai Light" w:cs="Dubai Light" w:hint="cs"/>
                  <w:color w:val="0563C1"/>
                  <w:sz w:val="18"/>
                  <w:szCs w:val="18"/>
                  <w:u w:val="single"/>
                  <w:lang w:eastAsia="es-EC"/>
                </w:rPr>
                <w:t xml:space="preserve">RE-001-SPPAT-2018 </w:t>
              </w:r>
            </w:hyperlink>
          </w:p>
        </w:tc>
        <w:tc>
          <w:tcPr>
            <w:tcW w:w="1457" w:type="dxa"/>
            <w:shd w:val="clear" w:color="auto" w:fill="auto"/>
            <w:vAlign w:val="center"/>
            <w:hideMark/>
          </w:tcPr>
          <w:p w:rsidR="00942463" w:rsidRPr="00B2635E" w:rsidRDefault="00942463" w:rsidP="00C975B6">
            <w:pPr>
              <w:spacing w:after="0" w:line="240" w:lineRule="auto"/>
              <w:jc w:val="both"/>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SERVICIO CORPORATIVO EMS EXPRESS MAIL SERVICE DE CORREOS DEL ECUADOR PARA EL PERIODO 2018-2019 DEL SERVICIO PÚBLICO PARA PAGO DE ACCIDENTES DE TRÁNSITO</w:t>
            </w:r>
          </w:p>
        </w:tc>
        <w:tc>
          <w:tcPr>
            <w:tcW w:w="928" w:type="dxa"/>
            <w:shd w:val="clear" w:color="auto" w:fill="F2F2F2" w:themeFill="background1" w:themeFillShade="F2"/>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Ejecución de Contrato</w:t>
            </w:r>
          </w:p>
        </w:tc>
        <w:tc>
          <w:tcPr>
            <w:tcW w:w="1591"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 xml:space="preserve">CORREOS </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 xml:space="preserve">DEL </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ECUADOR EP</w:t>
            </w:r>
          </w:p>
        </w:tc>
        <w:tc>
          <w:tcPr>
            <w:tcW w:w="1053"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176804262</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0001</w:t>
            </w:r>
          </w:p>
        </w:tc>
        <w:tc>
          <w:tcPr>
            <w:tcW w:w="1200" w:type="dxa"/>
            <w:shd w:val="clear" w:color="auto" w:fill="auto"/>
            <w:noWrap/>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14,561.75</w:t>
            </w:r>
          </w:p>
        </w:tc>
        <w:tc>
          <w:tcPr>
            <w:tcW w:w="1041"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04-jun-2018</w:t>
            </w:r>
          </w:p>
        </w:tc>
        <w:tc>
          <w:tcPr>
            <w:tcW w:w="1137"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Mensual</w:t>
            </w:r>
          </w:p>
        </w:tc>
        <w:tc>
          <w:tcPr>
            <w:tcW w:w="915"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365</w:t>
            </w:r>
          </w:p>
        </w:tc>
        <w:tc>
          <w:tcPr>
            <w:tcW w:w="1144"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04-jun-2019</w:t>
            </w:r>
          </w:p>
        </w:tc>
      </w:tr>
      <w:tr w:rsidR="00942463" w:rsidRPr="00B2635E" w:rsidTr="00DC6176">
        <w:trPr>
          <w:trHeight w:val="1410"/>
        </w:trPr>
        <w:tc>
          <w:tcPr>
            <w:tcW w:w="705" w:type="dxa"/>
            <w:shd w:val="clear" w:color="auto" w:fill="auto"/>
            <w:hideMark/>
          </w:tcPr>
          <w:p w:rsidR="00942463" w:rsidRPr="00B2635E" w:rsidRDefault="00580780" w:rsidP="00C975B6">
            <w:pPr>
              <w:spacing w:after="0" w:line="240" w:lineRule="auto"/>
              <w:rPr>
                <w:rFonts w:ascii="Dubai Light" w:eastAsia="Times New Roman" w:hAnsi="Dubai Light" w:cs="Dubai Light" w:hint="cs"/>
                <w:color w:val="0563C1"/>
                <w:sz w:val="18"/>
                <w:szCs w:val="18"/>
                <w:u w:val="single"/>
                <w:lang w:eastAsia="es-EC"/>
              </w:rPr>
            </w:pPr>
            <w:hyperlink r:id="rId11" w:history="1">
              <w:r w:rsidR="00942463" w:rsidRPr="00B2635E">
                <w:rPr>
                  <w:rFonts w:ascii="Dubai Light" w:eastAsia="Times New Roman" w:hAnsi="Dubai Light" w:cs="Dubai Light" w:hint="cs"/>
                  <w:color w:val="0563C1"/>
                  <w:sz w:val="18"/>
                  <w:szCs w:val="18"/>
                  <w:u w:val="single"/>
                  <w:lang w:eastAsia="es-EC"/>
                </w:rPr>
                <w:t xml:space="preserve">RE-003-SPPAT-2018 </w:t>
              </w:r>
            </w:hyperlink>
          </w:p>
        </w:tc>
        <w:tc>
          <w:tcPr>
            <w:tcW w:w="1457" w:type="dxa"/>
            <w:shd w:val="clear" w:color="auto" w:fill="auto"/>
            <w:hideMark/>
          </w:tcPr>
          <w:p w:rsidR="00942463" w:rsidRPr="00B2635E" w:rsidRDefault="00942463" w:rsidP="00C975B6">
            <w:pPr>
              <w:spacing w:after="0" w:line="240" w:lineRule="auto"/>
              <w:jc w:val="both"/>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SERVICIO DE INTERNET CON LA EMPRESA CNT EP EN LA CIUDAD DE QUITO PARA EL PERIODO 2018-2019 DEL SERVICIO PÚBLICO PARA PAGO DE ACCIDENTES DE TRÁNSITO.</w:t>
            </w:r>
          </w:p>
        </w:tc>
        <w:tc>
          <w:tcPr>
            <w:tcW w:w="928" w:type="dxa"/>
            <w:shd w:val="clear" w:color="auto" w:fill="F2F2F2" w:themeFill="background1" w:themeFillShade="F2"/>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Ejecución de Contrato</w:t>
            </w:r>
          </w:p>
        </w:tc>
        <w:tc>
          <w:tcPr>
            <w:tcW w:w="1591"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CNT EP</w:t>
            </w:r>
          </w:p>
        </w:tc>
        <w:tc>
          <w:tcPr>
            <w:tcW w:w="1053"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176815256</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0001</w:t>
            </w:r>
          </w:p>
        </w:tc>
        <w:tc>
          <w:tcPr>
            <w:tcW w:w="1200" w:type="dxa"/>
            <w:shd w:val="clear" w:color="auto" w:fill="auto"/>
            <w:noWrap/>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12,000.00</w:t>
            </w:r>
          </w:p>
        </w:tc>
        <w:tc>
          <w:tcPr>
            <w:tcW w:w="1041"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19-jul-2018</w:t>
            </w:r>
          </w:p>
        </w:tc>
        <w:tc>
          <w:tcPr>
            <w:tcW w:w="1137"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Mensual</w:t>
            </w:r>
          </w:p>
        </w:tc>
        <w:tc>
          <w:tcPr>
            <w:tcW w:w="915"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365</w:t>
            </w:r>
          </w:p>
        </w:tc>
        <w:tc>
          <w:tcPr>
            <w:tcW w:w="1144"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19/7/2019</w:t>
            </w:r>
          </w:p>
        </w:tc>
      </w:tr>
      <w:tr w:rsidR="00942463" w:rsidRPr="00B2635E" w:rsidTr="00DC6176">
        <w:trPr>
          <w:trHeight w:val="1575"/>
        </w:trPr>
        <w:tc>
          <w:tcPr>
            <w:tcW w:w="705" w:type="dxa"/>
            <w:shd w:val="clear" w:color="auto" w:fill="auto"/>
            <w:vAlign w:val="center"/>
            <w:hideMark/>
          </w:tcPr>
          <w:p w:rsidR="00942463" w:rsidRPr="00B2635E" w:rsidRDefault="00580780" w:rsidP="00C975B6">
            <w:pPr>
              <w:spacing w:after="0" w:line="240" w:lineRule="auto"/>
              <w:jc w:val="center"/>
              <w:rPr>
                <w:rFonts w:ascii="Dubai Light" w:eastAsia="Times New Roman" w:hAnsi="Dubai Light" w:cs="Dubai Light" w:hint="cs"/>
                <w:color w:val="0563C1"/>
                <w:sz w:val="18"/>
                <w:szCs w:val="18"/>
                <w:u w:val="single"/>
                <w:lang w:eastAsia="es-EC"/>
              </w:rPr>
            </w:pPr>
            <w:hyperlink r:id="rId12" w:history="1">
              <w:r w:rsidR="00942463" w:rsidRPr="00B2635E">
                <w:rPr>
                  <w:rFonts w:ascii="Dubai Light" w:eastAsia="Times New Roman" w:hAnsi="Dubai Light" w:cs="Dubai Light" w:hint="cs"/>
                  <w:color w:val="0563C1"/>
                  <w:sz w:val="18"/>
                  <w:szCs w:val="18"/>
                  <w:u w:val="single"/>
                  <w:lang w:eastAsia="es-EC"/>
                </w:rPr>
                <w:t xml:space="preserve">SIE-SPPAT-002-2018 </w:t>
              </w:r>
            </w:hyperlink>
          </w:p>
        </w:tc>
        <w:tc>
          <w:tcPr>
            <w:tcW w:w="1457" w:type="dxa"/>
            <w:shd w:val="clear" w:color="auto" w:fill="auto"/>
            <w:hideMark/>
          </w:tcPr>
          <w:p w:rsidR="00942463" w:rsidRPr="00B2635E" w:rsidRDefault="00942463" w:rsidP="00C975B6">
            <w:pPr>
              <w:spacing w:after="0" w:line="240" w:lineRule="auto"/>
              <w:jc w:val="both"/>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ADQUISICIÓN DE SUMINISTROS PARA LAS IMPRESORAS XEROX WORK CENTRE MODELO 7855, KONIKA MINOLTA BIZHUB C284E, HP LASER JET PRO MFP M476DW DEL SPPAT</w:t>
            </w:r>
          </w:p>
        </w:tc>
        <w:tc>
          <w:tcPr>
            <w:tcW w:w="928" w:type="dxa"/>
            <w:shd w:val="clear" w:color="auto" w:fill="F2F2F2" w:themeFill="background1" w:themeFillShade="F2"/>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sz w:val="18"/>
                <w:szCs w:val="18"/>
                <w:lang w:eastAsia="es-EC"/>
              </w:rPr>
            </w:pPr>
            <w:r w:rsidRPr="00B2635E">
              <w:rPr>
                <w:rFonts w:ascii="Dubai Light" w:eastAsia="Times New Roman" w:hAnsi="Dubai Light" w:cs="Dubai Light" w:hint="cs"/>
                <w:b/>
                <w:bCs/>
                <w:color w:val="000000"/>
                <w:sz w:val="18"/>
                <w:szCs w:val="18"/>
                <w:lang w:eastAsia="es-EC"/>
              </w:rPr>
              <w:t>Liquidado</w:t>
            </w:r>
          </w:p>
        </w:tc>
        <w:tc>
          <w:tcPr>
            <w:tcW w:w="1591"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 xml:space="preserve">TECNICOS </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EN MANTENIMIENTO Y ACCESORIOS TECMAN CIA. LTDA.</w:t>
            </w:r>
          </w:p>
        </w:tc>
        <w:tc>
          <w:tcPr>
            <w:tcW w:w="1053"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179125892</w:t>
            </w:r>
          </w:p>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4001</w:t>
            </w:r>
          </w:p>
        </w:tc>
        <w:tc>
          <w:tcPr>
            <w:tcW w:w="1200" w:type="dxa"/>
            <w:shd w:val="clear" w:color="auto" w:fill="auto"/>
            <w:noWrap/>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14,985.00</w:t>
            </w:r>
          </w:p>
        </w:tc>
        <w:tc>
          <w:tcPr>
            <w:tcW w:w="1041"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20-ago-2018</w:t>
            </w:r>
          </w:p>
        </w:tc>
        <w:tc>
          <w:tcPr>
            <w:tcW w:w="1137" w:type="dxa"/>
            <w:shd w:val="clear" w:color="auto" w:fill="auto"/>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100% CONTRA ENTREGA</w:t>
            </w:r>
          </w:p>
        </w:tc>
        <w:tc>
          <w:tcPr>
            <w:tcW w:w="915"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10</w:t>
            </w:r>
          </w:p>
        </w:tc>
        <w:tc>
          <w:tcPr>
            <w:tcW w:w="1144" w:type="dxa"/>
            <w:shd w:val="clear" w:color="auto" w:fill="auto"/>
            <w:noWrap/>
            <w:vAlign w:val="center"/>
            <w:hideMark/>
          </w:tcPr>
          <w:p w:rsidR="00942463" w:rsidRPr="00B2635E" w:rsidRDefault="00942463" w:rsidP="00C975B6">
            <w:pPr>
              <w:spacing w:after="0" w:line="240" w:lineRule="auto"/>
              <w:jc w:val="center"/>
              <w:rPr>
                <w:rFonts w:ascii="Dubai Light" w:eastAsia="Times New Roman" w:hAnsi="Dubai Light" w:cs="Dubai Light" w:hint="cs"/>
                <w:color w:val="000000"/>
                <w:sz w:val="18"/>
                <w:szCs w:val="18"/>
                <w:lang w:eastAsia="es-EC"/>
              </w:rPr>
            </w:pPr>
            <w:r w:rsidRPr="00B2635E">
              <w:rPr>
                <w:rFonts w:ascii="Dubai Light" w:eastAsia="Times New Roman" w:hAnsi="Dubai Light" w:cs="Dubai Light" w:hint="cs"/>
                <w:color w:val="000000"/>
                <w:sz w:val="18"/>
                <w:szCs w:val="18"/>
                <w:lang w:eastAsia="es-EC"/>
              </w:rPr>
              <w:t>30-ago-2018</w:t>
            </w:r>
          </w:p>
        </w:tc>
      </w:tr>
      <w:tr w:rsidR="00DC6176" w:rsidRPr="00B2635E" w:rsidTr="00AC3D53">
        <w:trPr>
          <w:trHeight w:val="381"/>
        </w:trPr>
        <w:tc>
          <w:tcPr>
            <w:tcW w:w="5734" w:type="dxa"/>
            <w:gridSpan w:val="5"/>
            <w:shd w:val="clear" w:color="auto" w:fill="auto"/>
            <w:vAlign w:val="center"/>
          </w:tcPr>
          <w:p w:rsidR="00DC6176" w:rsidRPr="00B2635E" w:rsidRDefault="00DC6176" w:rsidP="00AC3D53">
            <w:pPr>
              <w:spacing w:after="0" w:line="240" w:lineRule="auto"/>
              <w:jc w:val="right"/>
              <w:rPr>
                <w:rFonts w:ascii="Dubai Light" w:eastAsia="Times New Roman" w:hAnsi="Dubai Light" w:cs="Dubai Light" w:hint="cs"/>
                <w:b/>
                <w:color w:val="000000"/>
                <w:sz w:val="18"/>
                <w:szCs w:val="18"/>
                <w:lang w:eastAsia="es-EC"/>
              </w:rPr>
            </w:pPr>
            <w:r w:rsidRPr="00B2635E">
              <w:rPr>
                <w:rFonts w:ascii="Dubai Light" w:eastAsia="Times New Roman" w:hAnsi="Dubai Light" w:cs="Dubai Light" w:hint="cs"/>
                <w:b/>
                <w:color w:val="000000"/>
                <w:sz w:val="18"/>
                <w:szCs w:val="18"/>
                <w:lang w:eastAsia="es-EC"/>
              </w:rPr>
              <w:t>TOTAL</w:t>
            </w:r>
          </w:p>
        </w:tc>
        <w:tc>
          <w:tcPr>
            <w:tcW w:w="5437" w:type="dxa"/>
            <w:gridSpan w:val="5"/>
            <w:shd w:val="clear" w:color="auto" w:fill="auto"/>
            <w:noWrap/>
            <w:vAlign w:val="center"/>
          </w:tcPr>
          <w:p w:rsidR="00DC6176" w:rsidRPr="00B2635E" w:rsidRDefault="00AC3D53" w:rsidP="00AC3D53">
            <w:pPr>
              <w:spacing w:after="0" w:line="240" w:lineRule="auto"/>
              <w:jc w:val="center"/>
              <w:rPr>
                <w:rFonts w:ascii="Dubai Light" w:eastAsia="Times New Roman" w:hAnsi="Dubai Light" w:cs="Dubai Light" w:hint="cs"/>
                <w:b/>
                <w:color w:val="000000"/>
                <w:sz w:val="18"/>
                <w:szCs w:val="18"/>
                <w:lang w:eastAsia="es-EC"/>
              </w:rPr>
            </w:pPr>
            <w:r w:rsidRPr="00B2635E">
              <w:rPr>
                <w:rFonts w:ascii="Dubai Light" w:eastAsia="Times New Roman" w:hAnsi="Dubai Light" w:cs="Dubai Light" w:hint="cs"/>
                <w:b/>
                <w:color w:val="000000"/>
                <w:sz w:val="18"/>
                <w:szCs w:val="18"/>
                <w:lang w:eastAsia="es-EC"/>
              </w:rPr>
              <w:t>1,460,400.46</w:t>
            </w:r>
          </w:p>
        </w:tc>
      </w:tr>
    </w:tbl>
    <w:p w:rsidR="00942463" w:rsidRPr="00B2635E" w:rsidRDefault="00942463" w:rsidP="00942463">
      <w:pPr>
        <w:spacing w:after="0" w:line="240" w:lineRule="auto"/>
        <w:rPr>
          <w:rFonts w:ascii="Dubai Light" w:hAnsi="Dubai Light" w:cs="Dubai Light" w:hint="cs"/>
          <w:sz w:val="20"/>
          <w:szCs w:val="20"/>
        </w:rPr>
      </w:pPr>
    </w:p>
    <w:p w:rsidR="00942463" w:rsidRPr="00B2635E" w:rsidRDefault="00942463" w:rsidP="00942463">
      <w:pPr>
        <w:spacing w:after="0" w:line="240" w:lineRule="auto"/>
        <w:rPr>
          <w:rFonts w:ascii="Dubai Light" w:hAnsi="Dubai Light" w:cs="Dubai Light" w:hint="cs"/>
          <w:sz w:val="20"/>
          <w:szCs w:val="20"/>
        </w:rPr>
      </w:pPr>
    </w:p>
    <w:p w:rsidR="00942463" w:rsidRPr="00B2635E" w:rsidRDefault="00942463" w:rsidP="00942463">
      <w:pPr>
        <w:spacing w:after="0" w:line="240" w:lineRule="auto"/>
        <w:rPr>
          <w:rFonts w:ascii="Dubai Light" w:hAnsi="Dubai Light" w:cs="Dubai Light" w:hint="cs"/>
        </w:rPr>
      </w:pPr>
    </w:p>
    <w:p w:rsidR="00942463" w:rsidRPr="00B2635E" w:rsidRDefault="00942463" w:rsidP="00942463">
      <w:pPr>
        <w:spacing w:after="0" w:line="240" w:lineRule="auto"/>
        <w:rPr>
          <w:rFonts w:ascii="Dubai Light" w:hAnsi="Dubai Light" w:cs="Dubai Light" w:hint="cs"/>
        </w:rPr>
      </w:pPr>
    </w:p>
    <w:p w:rsidR="00942463" w:rsidRPr="00B2635E" w:rsidRDefault="00942463" w:rsidP="00942463">
      <w:pPr>
        <w:spacing w:after="0" w:line="240" w:lineRule="auto"/>
        <w:rPr>
          <w:rFonts w:ascii="Dubai Light" w:hAnsi="Dubai Light" w:cs="Dubai Light" w:hint="cs"/>
          <w:b/>
        </w:rPr>
      </w:pPr>
      <w:r w:rsidRPr="00B2635E">
        <w:rPr>
          <w:rFonts w:ascii="Dubai Light" w:hAnsi="Dubai Light" w:cs="Dubai Light" w:hint="cs"/>
          <w:b/>
        </w:rPr>
        <w:t>CATÁLOGO ELECTRÓNICO 2018</w:t>
      </w:r>
    </w:p>
    <w:p w:rsidR="00942463" w:rsidRPr="00B2635E" w:rsidRDefault="00942463" w:rsidP="00942463">
      <w:pPr>
        <w:spacing w:after="0" w:line="240" w:lineRule="auto"/>
        <w:rPr>
          <w:rFonts w:ascii="Dubai Light" w:hAnsi="Dubai Light" w:cs="Dubai Light" w:hint="cs"/>
          <w:b/>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804"/>
        <w:gridCol w:w="984"/>
        <w:gridCol w:w="1984"/>
        <w:gridCol w:w="1157"/>
        <w:gridCol w:w="1189"/>
        <w:gridCol w:w="1010"/>
        <w:gridCol w:w="1166"/>
      </w:tblGrid>
      <w:tr w:rsidR="00942463" w:rsidRPr="00B2635E" w:rsidTr="00C975B6">
        <w:trPr>
          <w:trHeight w:val="463"/>
          <w:tblHeader/>
          <w:jc w:val="center"/>
        </w:trPr>
        <w:tc>
          <w:tcPr>
            <w:tcW w:w="2122"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PROVEEDOR</w:t>
            </w:r>
          </w:p>
        </w:tc>
        <w:tc>
          <w:tcPr>
            <w:tcW w:w="1497"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 xml:space="preserve">CÓDIGO  </w:t>
            </w:r>
          </w:p>
        </w:tc>
        <w:tc>
          <w:tcPr>
            <w:tcW w:w="771"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ESTADO</w:t>
            </w:r>
          </w:p>
        </w:tc>
        <w:tc>
          <w:tcPr>
            <w:tcW w:w="1984"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DESCRIPCIÓN</w:t>
            </w:r>
          </w:p>
        </w:tc>
        <w:tc>
          <w:tcPr>
            <w:tcW w:w="851"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CANTIDAD</w:t>
            </w:r>
          </w:p>
        </w:tc>
        <w:tc>
          <w:tcPr>
            <w:tcW w:w="950"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SUBTOTAL</w:t>
            </w:r>
          </w:p>
        </w:tc>
        <w:tc>
          <w:tcPr>
            <w:tcW w:w="751"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IVA</w:t>
            </w:r>
          </w:p>
        </w:tc>
        <w:tc>
          <w:tcPr>
            <w:tcW w:w="1003" w:type="dxa"/>
            <w:shd w:val="clear" w:color="auto" w:fill="D9D9D9" w:themeFill="background1" w:themeFillShade="D9"/>
            <w:vAlign w:val="center"/>
            <w:hideMark/>
          </w:tcPr>
          <w:p w:rsidR="00942463" w:rsidRPr="00B2635E" w:rsidRDefault="00942463" w:rsidP="00C975B6">
            <w:pPr>
              <w:spacing w:after="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TOTAL</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TEXTIQUIM CIA. LTDA.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CE-20180001296168</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ALCOHOL ANTISÉPTICO GALÓN</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15.7218</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1.8866</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17.6084</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ASEOTOTAL S.A.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CE-20180001296167</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noWrap/>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JABÓN LÍQUIDO PARA RECARGAR GALÓN</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15</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48.9000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5.8680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54.7680</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PLASTILIMPIO S.A.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CE-20180001296166</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AMBIENTAL VARIAS FRAGANCIAS EN AEROSOL 400 CC</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24</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73.2000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8.7840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81.9840</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CÁRDENAS SALAMEA SONIA PIEDAD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CE-20180001296165</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DESTAPADOR DE CAÑERÍAS LITRO</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8.8800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1.0656</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9.9456</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CE-20180001296164</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noWrap/>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PAPEL HIGIÉNICO JUMBO DOBLE HOJA BLANCO 250 METROS</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310.0000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37.2000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347.2000</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ASEOTOTAL S.A.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CE-20180001296163</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DESINFECTANTE AMONIO CUATERNARIO GALÓN</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54.0000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6.4800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60.4800</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CÁRDENAS SALAMEA SONIA PIEDAD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CE-20180001296162</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CLORO LIQUIDO AL 5 POR CIENTO, GALÓN</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4.9000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0.5880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5.4880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lastRenderedPageBreak/>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CE-20180001296161</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PAPEL TOALLA DE MANOS BLANCO EN Z 150 UNIDADES</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305</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350.7500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42.0900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392.8400</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POLIT ALVAREZ EDISON RAMIRO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CE-20180001271737</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 ARCHIVADORES TAMAÑO TELEGRAMA LOMO 8CM</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235.0000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28.2000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263.2000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CE-20180001271736</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LIGAS 8 CM FUNDA DE 1 KG</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12</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87.6000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10.5120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98.1120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URADO VILLAGÓMEZ EDISON ANCIZAR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CE-20180001271735</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FLASH MEMORY 64 GB</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103.5200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12.4224</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115.9424</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Falconi Cisneros </w:t>
            </w:r>
            <w:r w:rsidR="003C26AF" w:rsidRPr="00B2635E">
              <w:rPr>
                <w:rFonts w:ascii="Dubai Light" w:eastAsia="Times New Roman" w:hAnsi="Dubai Light" w:cs="Dubai Light" w:hint="cs"/>
                <w:color w:val="000000"/>
                <w:lang w:eastAsia="es-EC"/>
              </w:rPr>
              <w:t>José</w:t>
            </w:r>
            <w:r w:rsidRPr="00B2635E">
              <w:rPr>
                <w:rFonts w:ascii="Dubai Light" w:eastAsia="Times New Roman" w:hAnsi="Dubai Light" w:cs="Dubai Light" w:hint="cs"/>
                <w:color w:val="000000"/>
                <w:lang w:eastAsia="es-EC"/>
              </w:rPr>
              <w:t xml:space="preserve"> Luis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CE-20180001271734</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FLASH MEMORY 32 GB</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44.4000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5.3280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49.7280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JURADO VILLAGOMEZ EDISON ANCIZAR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CE-20180001271733</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FLASH MEMORY 16 GB</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26.7000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3.2040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29.9040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CE-20180001271732</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ESFEROGRAFICO NEGRO PUNTA FINA</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5.4400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0.6528</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6.0928</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w:t>
            </w:r>
            <w:r w:rsidRPr="00B2635E">
              <w:rPr>
                <w:rFonts w:ascii="Dubai Light" w:eastAsia="Times New Roman" w:hAnsi="Dubai Light" w:cs="Dubai Light" w:hint="cs"/>
                <w:color w:val="000000"/>
                <w:lang w:eastAsia="es-EC"/>
              </w:rPr>
              <w:lastRenderedPageBreak/>
              <w:t xml:space="preserve">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lastRenderedPageBreak/>
              <w:t>CE-20180001271731</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AGUZADOR MANUAL PEQUEÑO</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86.0000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10.3200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96.3200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CE-20180001271730</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ESFEROGRAFICO ROJO PUNTA FINA</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10.8800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1.3056</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12.1856</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CE-20180001271729</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SOBRE MANILA F6</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1500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82.5000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9.9000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92.4000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CE-20180001271728</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ESFEROGRÁFICO AZUL PUNTA FINA</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21.7600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2.6112</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24.3712</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CE-20180001271727</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SACAPUNTAS PEQUEÑO METÁLICO 1 SERVICIO</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1.6000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0.1920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1.7920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CE-20180001271726</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CUADERNO ESPIRAL UNIVERSITARIO CUADROS 100 HOJAS</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75</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65.2500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7.8300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73.0800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CE-20180001271725</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SACAGRAPAS</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1.6500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0.1980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1.8480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lastRenderedPageBreak/>
              <w:t xml:space="preserve">JURADO VILLAGÓMEZ EDISON ANCIZAR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CE-20180001271724</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RESMA DE PAPEL BOND A4 DE 75 GR</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450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1,320.7500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0.0000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1,320.7500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JURADO VILLAGOMEZ EDISON ANCIZAR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CE-20180001271723</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CLIPS STANDAR 32 MM METÁLICOS</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17.5000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2.1000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19.6000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CE-20180001271722</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REGLA PLÁSTICA 30 CM</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7.1500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0.8580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8.0080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JURADO VILLAGOMEZ EDISON ANCIZAR </w:t>
            </w:r>
            <w:r w:rsidRPr="00B2635E">
              <w:rPr>
                <w:rFonts w:ascii="Dubai Light" w:eastAsia="Times New Roman" w:hAnsi="Dubai Light" w:cs="Dubai Light" w:hint="cs"/>
                <w:b/>
                <w:bCs/>
                <w:color w:val="000000"/>
                <w:lang w:eastAsia="es-EC"/>
              </w:rPr>
              <w:t xml:space="preserve">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CE-20180001271721</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  CINTA DE EMPAQUE 48X80 YDAS COLOR TRANSPARENTE</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47.5000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5.7000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53.2000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CE-20180001271720</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PROTECTOR DE HOJA A4 PLASTI. TRANSPARE. DELGA (1 UNI</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0.4830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0.0580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0.5410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CE-20180001271719</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  CERA PARA DEDOS/CREMA CONTAR BILLETES (GRANDE)</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41.5000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4.9800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46.4800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CE-20180001271718</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NOTAS ADHESIVAS GRANDES 3X3 PULG</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15.0000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1.8000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16.8000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lastRenderedPageBreak/>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CE-20180001271717</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CARPETA FOLDER DE CARTULINA KRAFT VARIOS COLORE</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180.0000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21.6000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201.6000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CE-20180001271716</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PERFORADORA DE ESCRITORIO MEDIANA</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14.7500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1.7700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16.5200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CE-20180001271715</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CARPETAS PLÁSTICAS DOS ANILLOS TAMAÑO OFICIO LOMO 5</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24</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55.2000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6.6240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61.8240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CE-20180001271714</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RESALTADORES VARIOS COLORES</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80.0000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9.6000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89.6000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CE-20180001271713</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BORRADOR (PEQUEÑO) PARA LÁPIZ</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75</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6.3675</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0.7641</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7.1316</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CE-20180001271712</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MARCADOR PERMANENTE NEGRO PUNTA GRUESA</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125</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37.5000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4.5000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42.0000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w:t>
            </w:r>
            <w:r w:rsidRPr="00B2635E">
              <w:rPr>
                <w:rFonts w:ascii="Dubai Light" w:eastAsia="Times New Roman" w:hAnsi="Dubai Light" w:cs="Dubai Light" w:hint="cs"/>
                <w:color w:val="000000"/>
                <w:lang w:eastAsia="es-EC"/>
              </w:rPr>
              <w:lastRenderedPageBreak/>
              <w:t>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lastRenderedPageBreak/>
              <w:t>CE-20180001271711</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BORRADOR DE PIZARRÓN (PLÁSTICO)</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0.3600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3.3600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COMPAÑÍA GENERAL DE COMERCIO COGECOMSA S. A.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CE-20180001271710</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MARCADOR TIZA LIQUIDA PUNTA GRUESA VARIOS COLORES</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64</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17.9200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2.1504</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20.0704</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Falconi Cisneros </w:t>
            </w:r>
            <w:r w:rsidR="003C26AF" w:rsidRPr="00B2635E">
              <w:rPr>
                <w:rFonts w:ascii="Dubai Light" w:eastAsia="Times New Roman" w:hAnsi="Dubai Light" w:cs="Dubai Light" w:hint="cs"/>
                <w:color w:val="000000"/>
                <w:lang w:eastAsia="es-EC"/>
              </w:rPr>
              <w:t>José</w:t>
            </w:r>
            <w:r w:rsidRPr="00B2635E">
              <w:rPr>
                <w:rFonts w:ascii="Dubai Light" w:eastAsia="Times New Roman" w:hAnsi="Dubai Light" w:cs="Dubai Light" w:hint="cs"/>
                <w:color w:val="000000"/>
                <w:lang w:eastAsia="es-EC"/>
              </w:rPr>
              <w:t xml:space="preserve"> Luis </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CE-20180001271709</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GRAPADORA NORMAL METÁLICA MEDIANA</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32.0000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3.8400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35.8400</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COMPAÑÍA GENERAL DE COMERCIO COGECOMSA S. A.</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CE-20180001271708</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GRAPAS 26/6 CAJA DE 1000 U</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10.0000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1.2000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11.2000</w:t>
            </w:r>
          </w:p>
        </w:tc>
      </w:tr>
      <w:tr w:rsidR="00942463" w:rsidRPr="00B2635E" w:rsidTr="00C975B6">
        <w:trPr>
          <w:trHeight w:val="3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LISINTUÑA LLUSHA ÁNGEL CAMILO</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CE-20180001271707</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BASURERO INDIVIDUAL ADMINISTRATIVO</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188.3400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22.6008</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210.9408</w:t>
            </w:r>
          </w:p>
        </w:tc>
      </w:tr>
      <w:tr w:rsidR="00942463" w:rsidRPr="00B2635E" w:rsidTr="00C975B6">
        <w:trPr>
          <w:trHeight w:val="600"/>
          <w:jc w:val="center"/>
        </w:trPr>
        <w:tc>
          <w:tcPr>
            <w:tcW w:w="2122"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JURADO VILLAGÓMEZ EDISON ANCIZAR</w:t>
            </w:r>
          </w:p>
        </w:tc>
        <w:tc>
          <w:tcPr>
            <w:tcW w:w="1497"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CE-20180001262259</w:t>
            </w:r>
          </w:p>
        </w:tc>
        <w:tc>
          <w:tcPr>
            <w:tcW w:w="771"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Liquidada</w:t>
            </w:r>
          </w:p>
        </w:tc>
        <w:tc>
          <w:tcPr>
            <w:tcW w:w="1984" w:type="dxa"/>
            <w:shd w:val="clear" w:color="auto" w:fill="auto"/>
            <w:vAlign w:val="center"/>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ARCHIVADOR DE CARTÓN NO. 15 CON TAPA</w:t>
            </w:r>
          </w:p>
        </w:tc>
        <w:tc>
          <w:tcPr>
            <w:tcW w:w="851" w:type="dxa"/>
            <w:shd w:val="clear" w:color="auto" w:fill="auto"/>
            <w:vAlign w:val="center"/>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3000</w:t>
            </w:r>
          </w:p>
        </w:tc>
        <w:tc>
          <w:tcPr>
            <w:tcW w:w="950"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3,855.0000</w:t>
            </w:r>
          </w:p>
        </w:tc>
        <w:tc>
          <w:tcPr>
            <w:tcW w:w="751"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462.6000</w:t>
            </w:r>
          </w:p>
        </w:tc>
        <w:tc>
          <w:tcPr>
            <w:tcW w:w="1003" w:type="dxa"/>
            <w:shd w:val="clear" w:color="auto" w:fill="auto"/>
            <w:noWrap/>
            <w:vAlign w:val="bottom"/>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4,317.6000</w:t>
            </w:r>
          </w:p>
        </w:tc>
      </w:tr>
      <w:tr w:rsidR="00942463" w:rsidRPr="00B2635E" w:rsidTr="00C975B6">
        <w:trPr>
          <w:trHeight w:val="300"/>
          <w:jc w:val="center"/>
        </w:trPr>
        <w:tc>
          <w:tcPr>
            <w:tcW w:w="7225" w:type="dxa"/>
            <w:gridSpan w:val="5"/>
            <w:shd w:val="clear" w:color="auto" w:fill="auto"/>
            <w:vAlign w:val="center"/>
            <w:hideMark/>
          </w:tcPr>
          <w:p w:rsidR="00942463" w:rsidRPr="00B2635E" w:rsidRDefault="00942463" w:rsidP="00C975B6">
            <w:pPr>
              <w:spacing w:before="120" w:after="120" w:line="240" w:lineRule="auto"/>
              <w:jc w:val="right"/>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TOTAL</w:t>
            </w:r>
          </w:p>
        </w:tc>
        <w:tc>
          <w:tcPr>
            <w:tcW w:w="950" w:type="dxa"/>
            <w:shd w:val="clear" w:color="auto" w:fill="auto"/>
            <w:noWrap/>
            <w:vAlign w:val="bottom"/>
            <w:hideMark/>
          </w:tcPr>
          <w:p w:rsidR="00942463" w:rsidRPr="00B2635E" w:rsidRDefault="00942463" w:rsidP="00C975B6">
            <w:pPr>
              <w:spacing w:before="120" w:after="120" w:line="240" w:lineRule="auto"/>
              <w:jc w:val="right"/>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7,568.6123</w:t>
            </w:r>
          </w:p>
        </w:tc>
        <w:tc>
          <w:tcPr>
            <w:tcW w:w="751" w:type="dxa"/>
            <w:shd w:val="clear" w:color="auto" w:fill="auto"/>
            <w:noWrap/>
            <w:vAlign w:val="bottom"/>
            <w:hideMark/>
          </w:tcPr>
          <w:p w:rsidR="00942463" w:rsidRPr="00B2635E" w:rsidRDefault="00942463" w:rsidP="00C975B6">
            <w:pPr>
              <w:spacing w:before="120" w:after="120" w:line="240" w:lineRule="auto"/>
              <w:jc w:val="right"/>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749.7435</w:t>
            </w:r>
          </w:p>
        </w:tc>
        <w:tc>
          <w:tcPr>
            <w:tcW w:w="1003" w:type="dxa"/>
            <w:shd w:val="clear" w:color="auto" w:fill="auto"/>
            <w:noWrap/>
            <w:vAlign w:val="bottom"/>
            <w:hideMark/>
          </w:tcPr>
          <w:p w:rsidR="00942463" w:rsidRPr="00B2635E" w:rsidRDefault="00942463" w:rsidP="00C975B6">
            <w:pPr>
              <w:spacing w:before="120" w:after="120" w:line="240" w:lineRule="auto"/>
              <w:jc w:val="right"/>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8,318.3558</w:t>
            </w:r>
          </w:p>
        </w:tc>
      </w:tr>
    </w:tbl>
    <w:p w:rsidR="00942463" w:rsidRPr="00B2635E" w:rsidRDefault="00942463" w:rsidP="00942463">
      <w:pPr>
        <w:spacing w:after="0" w:line="240" w:lineRule="auto"/>
        <w:rPr>
          <w:rFonts w:ascii="Dubai Light" w:hAnsi="Dubai Light" w:cs="Dubai Light" w:hint="cs"/>
        </w:rPr>
      </w:pPr>
    </w:p>
    <w:p w:rsidR="00942463" w:rsidRPr="00B2635E" w:rsidRDefault="00942463" w:rsidP="00942463">
      <w:pPr>
        <w:spacing w:after="0" w:line="240" w:lineRule="auto"/>
        <w:jc w:val="center"/>
        <w:rPr>
          <w:rFonts w:ascii="Dubai Light" w:hAnsi="Dubai Light" w:cs="Dubai Light" w:hint="cs"/>
        </w:rPr>
      </w:pPr>
    </w:p>
    <w:p w:rsidR="00942463" w:rsidRPr="00B2635E" w:rsidRDefault="00942463" w:rsidP="00942463">
      <w:pPr>
        <w:spacing w:after="0" w:line="240" w:lineRule="auto"/>
        <w:jc w:val="center"/>
        <w:rPr>
          <w:rFonts w:ascii="Dubai Light" w:hAnsi="Dubai Light" w:cs="Dubai Light" w:hint="cs"/>
        </w:rPr>
      </w:pPr>
    </w:p>
    <w:p w:rsidR="00942463" w:rsidRPr="00B2635E" w:rsidRDefault="00942463" w:rsidP="00942463">
      <w:pPr>
        <w:spacing w:after="0" w:line="240" w:lineRule="auto"/>
        <w:jc w:val="center"/>
        <w:rPr>
          <w:rFonts w:ascii="Dubai Light" w:hAnsi="Dubai Light" w:cs="Dubai Light" w:hint="cs"/>
        </w:rPr>
      </w:pPr>
    </w:p>
    <w:p w:rsidR="00942463" w:rsidRPr="00B2635E" w:rsidRDefault="00942463" w:rsidP="00942463">
      <w:pPr>
        <w:spacing w:after="0" w:line="240" w:lineRule="auto"/>
        <w:jc w:val="center"/>
        <w:rPr>
          <w:rFonts w:ascii="Dubai Light" w:hAnsi="Dubai Light" w:cs="Dubai Light" w:hint="cs"/>
        </w:rPr>
      </w:pPr>
    </w:p>
    <w:p w:rsidR="00942463" w:rsidRPr="00B2635E" w:rsidRDefault="00942463" w:rsidP="00942463">
      <w:pPr>
        <w:spacing w:after="0" w:line="240" w:lineRule="auto"/>
        <w:jc w:val="center"/>
        <w:rPr>
          <w:rFonts w:ascii="Dubai Light" w:hAnsi="Dubai Light" w:cs="Dubai Light" w:hint="cs"/>
        </w:rPr>
      </w:pPr>
    </w:p>
    <w:p w:rsidR="00942463" w:rsidRPr="00B2635E" w:rsidRDefault="00942463" w:rsidP="00942463">
      <w:pPr>
        <w:spacing w:after="0" w:line="240" w:lineRule="auto"/>
        <w:rPr>
          <w:rFonts w:ascii="Dubai Light" w:hAnsi="Dubai Light" w:cs="Dubai Light" w:hint="cs"/>
          <w:b/>
        </w:rPr>
      </w:pPr>
    </w:p>
    <w:p w:rsidR="00942463" w:rsidRPr="00B2635E" w:rsidRDefault="00942463" w:rsidP="00942463">
      <w:pPr>
        <w:spacing w:after="0" w:line="240" w:lineRule="auto"/>
        <w:rPr>
          <w:rFonts w:ascii="Dubai Light" w:hAnsi="Dubai Light" w:cs="Dubai Light" w:hint="cs"/>
          <w:b/>
        </w:rPr>
      </w:pPr>
    </w:p>
    <w:p w:rsidR="00942463" w:rsidRPr="00B2635E" w:rsidRDefault="00942463" w:rsidP="00942463">
      <w:pPr>
        <w:spacing w:after="0" w:line="240" w:lineRule="auto"/>
        <w:rPr>
          <w:rFonts w:ascii="Dubai Light" w:hAnsi="Dubai Light" w:cs="Dubai Light" w:hint="cs"/>
          <w:b/>
        </w:rPr>
      </w:pPr>
      <w:r w:rsidRPr="00B2635E">
        <w:rPr>
          <w:rFonts w:ascii="Dubai Light" w:hAnsi="Dubai Light" w:cs="Dubai Light" w:hint="cs"/>
          <w:b/>
        </w:rPr>
        <w:lastRenderedPageBreak/>
        <w:t>ÍNFIMA CUANTÍA 2018</w:t>
      </w:r>
    </w:p>
    <w:p w:rsidR="00942463" w:rsidRPr="00B2635E" w:rsidRDefault="00942463" w:rsidP="00942463">
      <w:pPr>
        <w:spacing w:after="0" w:line="240" w:lineRule="auto"/>
        <w:rPr>
          <w:rFonts w:ascii="Dubai Light" w:hAnsi="Dubai Light" w:cs="Dubai Light" w:hint="cs"/>
          <w:b/>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1784"/>
        <w:gridCol w:w="2018"/>
        <w:gridCol w:w="1246"/>
        <w:gridCol w:w="1157"/>
        <w:gridCol w:w="1047"/>
        <w:gridCol w:w="992"/>
        <w:gridCol w:w="1047"/>
      </w:tblGrid>
      <w:tr w:rsidR="00942463" w:rsidRPr="00B2635E" w:rsidTr="00C975B6">
        <w:trPr>
          <w:trHeight w:val="226"/>
          <w:jc w:val="center"/>
        </w:trPr>
        <w:tc>
          <w:tcPr>
            <w:tcW w:w="709" w:type="dxa"/>
            <w:shd w:val="clear" w:color="000000" w:fill="D9D9D9"/>
            <w:vAlign w:val="center"/>
            <w:hideMark/>
          </w:tcPr>
          <w:p w:rsidR="00942463" w:rsidRPr="00B2635E" w:rsidRDefault="00942463" w:rsidP="00C975B6">
            <w:pPr>
              <w:spacing w:before="120" w:after="12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NRO.</w:t>
            </w:r>
          </w:p>
        </w:tc>
        <w:tc>
          <w:tcPr>
            <w:tcW w:w="1980" w:type="dxa"/>
            <w:shd w:val="clear" w:color="000000" w:fill="D9D9D9"/>
            <w:vAlign w:val="center"/>
            <w:hideMark/>
          </w:tcPr>
          <w:p w:rsidR="00942463" w:rsidRPr="00B2635E" w:rsidRDefault="00942463" w:rsidP="00C975B6">
            <w:pPr>
              <w:spacing w:before="120" w:after="12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RAZÓN SOCIAL</w:t>
            </w:r>
          </w:p>
        </w:tc>
        <w:tc>
          <w:tcPr>
            <w:tcW w:w="2551" w:type="dxa"/>
            <w:shd w:val="clear" w:color="000000" w:fill="D9D9D9"/>
            <w:vAlign w:val="center"/>
            <w:hideMark/>
          </w:tcPr>
          <w:p w:rsidR="00942463" w:rsidRPr="00B2635E" w:rsidRDefault="00942463" w:rsidP="00C975B6">
            <w:pPr>
              <w:spacing w:before="120" w:after="12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OBJETO DE COMPRA</w:t>
            </w:r>
          </w:p>
        </w:tc>
        <w:tc>
          <w:tcPr>
            <w:tcW w:w="992" w:type="dxa"/>
            <w:shd w:val="clear" w:color="000000" w:fill="D9D9D9"/>
          </w:tcPr>
          <w:p w:rsidR="00942463" w:rsidRPr="00B2635E" w:rsidRDefault="00942463" w:rsidP="00C975B6">
            <w:pPr>
              <w:spacing w:before="120" w:after="12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ESTADO</w:t>
            </w:r>
          </w:p>
        </w:tc>
        <w:tc>
          <w:tcPr>
            <w:tcW w:w="992" w:type="dxa"/>
            <w:shd w:val="clear" w:color="000000" w:fill="D9D9D9"/>
            <w:vAlign w:val="center"/>
            <w:hideMark/>
          </w:tcPr>
          <w:p w:rsidR="00942463" w:rsidRPr="00B2635E" w:rsidRDefault="00942463" w:rsidP="00C975B6">
            <w:pPr>
              <w:spacing w:before="120" w:after="12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CANTIDAD</w:t>
            </w:r>
          </w:p>
        </w:tc>
        <w:tc>
          <w:tcPr>
            <w:tcW w:w="851" w:type="dxa"/>
            <w:shd w:val="clear" w:color="000000" w:fill="D9D9D9"/>
            <w:vAlign w:val="center"/>
            <w:hideMark/>
          </w:tcPr>
          <w:p w:rsidR="00942463" w:rsidRPr="00B2635E" w:rsidRDefault="00942463" w:rsidP="00C975B6">
            <w:pPr>
              <w:spacing w:before="120" w:after="12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VALOR</w:t>
            </w:r>
          </w:p>
        </w:tc>
        <w:tc>
          <w:tcPr>
            <w:tcW w:w="992" w:type="dxa"/>
            <w:shd w:val="clear" w:color="000000" w:fill="D9D9D9"/>
            <w:vAlign w:val="center"/>
            <w:hideMark/>
          </w:tcPr>
          <w:p w:rsidR="00942463" w:rsidRPr="00B2635E" w:rsidRDefault="00942463" w:rsidP="00C975B6">
            <w:pPr>
              <w:spacing w:before="120" w:after="12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IVA</w:t>
            </w:r>
          </w:p>
        </w:tc>
        <w:tc>
          <w:tcPr>
            <w:tcW w:w="851" w:type="dxa"/>
            <w:shd w:val="clear" w:color="000000" w:fill="D9D9D9"/>
            <w:vAlign w:val="center"/>
            <w:hideMark/>
          </w:tcPr>
          <w:p w:rsidR="00942463" w:rsidRPr="00B2635E" w:rsidRDefault="00942463" w:rsidP="00C975B6">
            <w:pPr>
              <w:spacing w:before="120" w:after="120" w:line="240" w:lineRule="auto"/>
              <w:jc w:val="center"/>
              <w:rPr>
                <w:rFonts w:ascii="Dubai Light" w:eastAsia="Times New Roman" w:hAnsi="Dubai Light" w:cs="Dubai Light" w:hint="cs"/>
                <w:b/>
                <w:bCs/>
                <w:color w:val="000000"/>
                <w:lang w:eastAsia="es-EC"/>
              </w:rPr>
            </w:pPr>
            <w:r w:rsidRPr="00B2635E">
              <w:rPr>
                <w:rFonts w:ascii="Dubai Light" w:eastAsia="Times New Roman" w:hAnsi="Dubai Light" w:cs="Dubai Light" w:hint="cs"/>
                <w:b/>
                <w:bCs/>
                <w:color w:val="000000"/>
                <w:lang w:eastAsia="es-EC"/>
              </w:rPr>
              <w:t>TOTAL</w:t>
            </w:r>
          </w:p>
        </w:tc>
      </w:tr>
      <w:tr w:rsidR="00942463" w:rsidRPr="00B2635E" w:rsidTr="00C975B6">
        <w:trPr>
          <w:trHeight w:val="710"/>
          <w:jc w:val="center"/>
        </w:trPr>
        <w:tc>
          <w:tcPr>
            <w:tcW w:w="709"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1980"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ALPHA TECHNOLOGIES CIA. LTDA.</w:t>
            </w:r>
          </w:p>
        </w:tc>
        <w:tc>
          <w:tcPr>
            <w:tcW w:w="2551"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ADQUISICIÓN DE CERTIFICADO SSL PARA EL CORREO INSTITUCIONAL ZIMBRA POR DOS AÑOS.</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PUBLICADA SOCE</w:t>
            </w:r>
          </w:p>
        </w:tc>
        <w:tc>
          <w:tcPr>
            <w:tcW w:w="992" w:type="dxa"/>
            <w:shd w:val="clear" w:color="auto" w:fill="auto"/>
            <w:hideMark/>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628.00</w:t>
            </w:r>
          </w:p>
        </w:tc>
        <w:tc>
          <w:tcPr>
            <w:tcW w:w="992"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75.36</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703.36</w:t>
            </w:r>
          </w:p>
        </w:tc>
      </w:tr>
      <w:tr w:rsidR="00942463" w:rsidRPr="00B2635E" w:rsidTr="00C975B6">
        <w:trPr>
          <w:trHeight w:val="692"/>
          <w:jc w:val="center"/>
        </w:trPr>
        <w:tc>
          <w:tcPr>
            <w:tcW w:w="709"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w:t>
            </w:r>
          </w:p>
        </w:tc>
        <w:tc>
          <w:tcPr>
            <w:tcW w:w="1980"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LOZADA LOZADA FRANKLIN JAVIER</w:t>
            </w:r>
          </w:p>
        </w:tc>
        <w:tc>
          <w:tcPr>
            <w:tcW w:w="2551"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IMPRESIÓN DE MATERIAL DE DIFUSIÓN Y ELEMENTOS PUBLICITARIOS PARA EL SPPAT</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PUBLICADA SOCE</w:t>
            </w:r>
          </w:p>
        </w:tc>
        <w:tc>
          <w:tcPr>
            <w:tcW w:w="992" w:type="dxa"/>
            <w:shd w:val="clear" w:color="auto" w:fill="auto"/>
            <w:hideMark/>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5,211.70</w:t>
            </w:r>
          </w:p>
        </w:tc>
        <w:tc>
          <w:tcPr>
            <w:tcW w:w="992"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625.40</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5,837.10</w:t>
            </w:r>
          </w:p>
        </w:tc>
      </w:tr>
      <w:tr w:rsidR="00942463" w:rsidRPr="00B2635E" w:rsidTr="00C975B6">
        <w:trPr>
          <w:trHeight w:val="1282"/>
          <w:jc w:val="center"/>
        </w:trPr>
        <w:tc>
          <w:tcPr>
            <w:tcW w:w="709"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3</w:t>
            </w:r>
          </w:p>
        </w:tc>
        <w:tc>
          <w:tcPr>
            <w:tcW w:w="1980"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AUTOMOVIL CLUB DEL ECUADOR ANETA</w:t>
            </w:r>
          </w:p>
        </w:tc>
        <w:tc>
          <w:tcPr>
            <w:tcW w:w="2551"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CONTRATACIÓN DE ABASTECIMIENTO DE COMBUSTIBLE PARA VEHÍCULOS INSTITUCIONALES DEL SERVICIO PÚBLICO PARA PAGO DE ACCIDENTES DE TRÁNSITO PERIODO 2018 - 2019</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PUBLICADA SOCE</w:t>
            </w:r>
          </w:p>
        </w:tc>
        <w:tc>
          <w:tcPr>
            <w:tcW w:w="992" w:type="dxa"/>
            <w:shd w:val="clear" w:color="auto" w:fill="auto"/>
            <w:hideMark/>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1,404.48</w:t>
            </w:r>
          </w:p>
        </w:tc>
        <w:tc>
          <w:tcPr>
            <w:tcW w:w="992"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168.54</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1,573.02</w:t>
            </w:r>
          </w:p>
        </w:tc>
      </w:tr>
      <w:tr w:rsidR="00942463" w:rsidRPr="00B2635E" w:rsidTr="00C975B6">
        <w:trPr>
          <w:trHeight w:val="535"/>
          <w:jc w:val="center"/>
        </w:trPr>
        <w:tc>
          <w:tcPr>
            <w:tcW w:w="709"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4</w:t>
            </w:r>
          </w:p>
        </w:tc>
        <w:tc>
          <w:tcPr>
            <w:tcW w:w="1980"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MARCO VINICIO MANZANO DIAZ</w:t>
            </w:r>
          </w:p>
        </w:tc>
        <w:tc>
          <w:tcPr>
            <w:tcW w:w="2551"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ADQUISICIÓN DE 25 BLOCK DE COMPROBANTES DE RETENCIONES</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PUBLICADA SOCE</w:t>
            </w:r>
          </w:p>
        </w:tc>
        <w:tc>
          <w:tcPr>
            <w:tcW w:w="992" w:type="dxa"/>
            <w:shd w:val="clear" w:color="auto" w:fill="auto"/>
            <w:hideMark/>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25</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175.00</w:t>
            </w:r>
          </w:p>
        </w:tc>
        <w:tc>
          <w:tcPr>
            <w:tcW w:w="992"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21.00</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196.00</w:t>
            </w:r>
          </w:p>
        </w:tc>
      </w:tr>
      <w:tr w:rsidR="00942463" w:rsidRPr="00B2635E" w:rsidTr="00C975B6">
        <w:trPr>
          <w:trHeight w:val="996"/>
          <w:jc w:val="center"/>
        </w:trPr>
        <w:tc>
          <w:tcPr>
            <w:tcW w:w="709"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lastRenderedPageBreak/>
              <w:t>5</w:t>
            </w:r>
          </w:p>
        </w:tc>
        <w:tc>
          <w:tcPr>
            <w:tcW w:w="1980"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DIGITAL SERVICE SOLUCIONES TECNICAS PROFESIONALES CIA. LTDA.</w:t>
            </w:r>
          </w:p>
        </w:tc>
        <w:tc>
          <w:tcPr>
            <w:tcW w:w="2551"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ADQUISICIÓN DE REPUESTOS Y ACCESORIOS PARA EL MANTENIMIENTO CORRECTIVO DE LAS IMPRESORAS DEL SPPAT</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PUBLICADA SOCE</w:t>
            </w:r>
          </w:p>
        </w:tc>
        <w:tc>
          <w:tcPr>
            <w:tcW w:w="992" w:type="dxa"/>
            <w:shd w:val="clear" w:color="auto" w:fill="auto"/>
            <w:hideMark/>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1,582.00</w:t>
            </w:r>
          </w:p>
        </w:tc>
        <w:tc>
          <w:tcPr>
            <w:tcW w:w="992"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189.84</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1,771.84</w:t>
            </w:r>
          </w:p>
        </w:tc>
      </w:tr>
      <w:tr w:rsidR="00942463" w:rsidRPr="00B2635E" w:rsidTr="00C975B6">
        <w:trPr>
          <w:trHeight w:val="1266"/>
          <w:jc w:val="center"/>
        </w:trPr>
        <w:tc>
          <w:tcPr>
            <w:tcW w:w="709"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w:t>
            </w:r>
          </w:p>
        </w:tc>
        <w:tc>
          <w:tcPr>
            <w:tcW w:w="1980"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PROPRAXIS S.A.</w:t>
            </w:r>
          </w:p>
        </w:tc>
        <w:tc>
          <w:tcPr>
            <w:tcW w:w="2551" w:type="dxa"/>
            <w:shd w:val="clear" w:color="auto" w:fill="auto"/>
            <w:hideMark/>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LEVANTAMIENTO DE INFORMACIÓN PARA MEDIR LA NECESIDAD DE LA CIUDADANÍA QUE PERMITA AMPLIAR EL ÁMBITO DE COORDINACIÓN QUE DEBE TENER EL SPPAT</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PUBLICADA SOCE</w:t>
            </w:r>
          </w:p>
        </w:tc>
        <w:tc>
          <w:tcPr>
            <w:tcW w:w="992" w:type="dxa"/>
            <w:shd w:val="clear" w:color="auto" w:fill="auto"/>
            <w:hideMark/>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6,750.00</w:t>
            </w:r>
          </w:p>
        </w:tc>
        <w:tc>
          <w:tcPr>
            <w:tcW w:w="992"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810.00</w:t>
            </w:r>
          </w:p>
        </w:tc>
        <w:tc>
          <w:tcPr>
            <w:tcW w:w="851" w:type="dxa"/>
            <w:shd w:val="clear" w:color="auto" w:fill="auto"/>
            <w:hideMark/>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7,560.00</w:t>
            </w:r>
          </w:p>
        </w:tc>
      </w:tr>
      <w:tr w:rsidR="00942463" w:rsidRPr="00B2635E" w:rsidTr="00C975B6">
        <w:trPr>
          <w:trHeight w:val="986"/>
          <w:jc w:val="center"/>
        </w:trPr>
        <w:tc>
          <w:tcPr>
            <w:tcW w:w="709"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w:t>
            </w:r>
          </w:p>
        </w:tc>
        <w:tc>
          <w:tcPr>
            <w:tcW w:w="1980"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 xml:space="preserve">JORGE MARCELO BERMÚDEZ HERNÁNDEZ </w:t>
            </w:r>
          </w:p>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COMERCIAL ELÉCTRICA PROMOLUZ</w:t>
            </w:r>
          </w:p>
        </w:tc>
        <w:tc>
          <w:tcPr>
            <w:tcW w:w="2551"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COMPRA DE MATERIAL ELÉCTRICO POR MOTIVO DE REPARACIÓN DE LAS LUMINARIAS DE LA INSTITUCIÓN</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POR PAGAR</w:t>
            </w:r>
          </w:p>
        </w:tc>
        <w:tc>
          <w:tcPr>
            <w:tcW w:w="992" w:type="dxa"/>
            <w:shd w:val="clear" w:color="auto" w:fill="auto"/>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851"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594.15</w:t>
            </w:r>
          </w:p>
        </w:tc>
        <w:tc>
          <w:tcPr>
            <w:tcW w:w="992"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28.55</w:t>
            </w:r>
          </w:p>
        </w:tc>
        <w:tc>
          <w:tcPr>
            <w:tcW w:w="851"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860.60</w:t>
            </w:r>
          </w:p>
        </w:tc>
      </w:tr>
      <w:tr w:rsidR="00942463" w:rsidRPr="00B2635E" w:rsidTr="00C975B6">
        <w:trPr>
          <w:trHeight w:val="987"/>
          <w:jc w:val="center"/>
        </w:trPr>
        <w:tc>
          <w:tcPr>
            <w:tcW w:w="709"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8</w:t>
            </w:r>
          </w:p>
        </w:tc>
        <w:tc>
          <w:tcPr>
            <w:tcW w:w="1980"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TECNOLOGÍA INTERNACIONAL PARA EL ECUADOR TECINTEC S.A.</w:t>
            </w:r>
          </w:p>
        </w:tc>
        <w:tc>
          <w:tcPr>
            <w:tcW w:w="2551"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SERVICIO DE MANTENIMIENTO PREVENTIVO DE VEINTE (20) COMPUTADORES DE ESCRITORIO DEL SPPAT A NIVEL NACIONAL.</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POR PAGAR</w:t>
            </w:r>
          </w:p>
        </w:tc>
        <w:tc>
          <w:tcPr>
            <w:tcW w:w="992" w:type="dxa"/>
            <w:shd w:val="clear" w:color="auto" w:fill="auto"/>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851"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600.00</w:t>
            </w:r>
          </w:p>
        </w:tc>
        <w:tc>
          <w:tcPr>
            <w:tcW w:w="992"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72.00</w:t>
            </w:r>
          </w:p>
        </w:tc>
        <w:tc>
          <w:tcPr>
            <w:tcW w:w="851"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672.00</w:t>
            </w:r>
          </w:p>
        </w:tc>
      </w:tr>
      <w:tr w:rsidR="00942463" w:rsidRPr="00B2635E" w:rsidTr="00C975B6">
        <w:trPr>
          <w:trHeight w:val="973"/>
          <w:jc w:val="center"/>
        </w:trPr>
        <w:tc>
          <w:tcPr>
            <w:tcW w:w="709"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lastRenderedPageBreak/>
              <w:t>9</w:t>
            </w:r>
          </w:p>
        </w:tc>
        <w:tc>
          <w:tcPr>
            <w:tcW w:w="1980"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SEGUROS SUCRE S.A.</w:t>
            </w:r>
          </w:p>
        </w:tc>
        <w:tc>
          <w:tcPr>
            <w:tcW w:w="2551" w:type="dxa"/>
            <w:shd w:val="clear" w:color="auto" w:fill="auto"/>
          </w:tcPr>
          <w:p w:rsidR="00942463" w:rsidRPr="00B2635E" w:rsidRDefault="00942463" w:rsidP="00C975B6">
            <w:pPr>
              <w:spacing w:after="0" w:line="240" w:lineRule="auto"/>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CONTRATACIÓN DE PÓLIZAS DE SEGUROS PARA BIENES DEL SERVICIO PÚBLICO DE ACCIDENTES DE TRÁNSITO (SPPAT)”,</w:t>
            </w:r>
          </w:p>
        </w:tc>
        <w:tc>
          <w:tcPr>
            <w:tcW w:w="992" w:type="dxa"/>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POR PAGAR</w:t>
            </w:r>
          </w:p>
        </w:tc>
        <w:tc>
          <w:tcPr>
            <w:tcW w:w="992" w:type="dxa"/>
            <w:shd w:val="clear" w:color="auto" w:fill="auto"/>
          </w:tcPr>
          <w:p w:rsidR="00942463" w:rsidRPr="00B2635E" w:rsidRDefault="00942463" w:rsidP="00C975B6">
            <w:pPr>
              <w:spacing w:after="0" w:line="240" w:lineRule="auto"/>
              <w:jc w:val="center"/>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1</w:t>
            </w:r>
          </w:p>
        </w:tc>
        <w:tc>
          <w:tcPr>
            <w:tcW w:w="851"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5,872.76</w:t>
            </w:r>
          </w:p>
        </w:tc>
        <w:tc>
          <w:tcPr>
            <w:tcW w:w="992"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704.73</w:t>
            </w:r>
          </w:p>
        </w:tc>
        <w:tc>
          <w:tcPr>
            <w:tcW w:w="851" w:type="dxa"/>
            <w:shd w:val="clear" w:color="auto" w:fill="auto"/>
          </w:tcPr>
          <w:p w:rsidR="00942463" w:rsidRPr="00B2635E" w:rsidRDefault="00942463" w:rsidP="00C975B6">
            <w:pPr>
              <w:spacing w:after="0" w:line="240" w:lineRule="auto"/>
              <w:jc w:val="right"/>
              <w:rPr>
                <w:rFonts w:ascii="Dubai Light" w:eastAsia="Times New Roman" w:hAnsi="Dubai Light" w:cs="Dubai Light" w:hint="cs"/>
                <w:color w:val="000000"/>
                <w:lang w:eastAsia="es-EC"/>
              </w:rPr>
            </w:pPr>
            <w:r w:rsidRPr="00B2635E">
              <w:rPr>
                <w:rFonts w:ascii="Dubai Light" w:eastAsia="Times New Roman" w:hAnsi="Dubai Light" w:cs="Dubai Light" w:hint="cs"/>
                <w:color w:val="000000"/>
                <w:lang w:eastAsia="es-EC"/>
              </w:rPr>
              <w:t>7.088.11</w:t>
            </w:r>
          </w:p>
        </w:tc>
      </w:tr>
      <w:tr w:rsidR="00942463" w:rsidRPr="00B2635E" w:rsidTr="00C975B6">
        <w:trPr>
          <w:trHeight w:val="293"/>
          <w:jc w:val="center"/>
        </w:trPr>
        <w:tc>
          <w:tcPr>
            <w:tcW w:w="7224" w:type="dxa"/>
            <w:gridSpan w:val="5"/>
          </w:tcPr>
          <w:p w:rsidR="00942463" w:rsidRPr="00B2635E" w:rsidRDefault="00942463" w:rsidP="00C975B6">
            <w:pPr>
              <w:spacing w:before="120" w:after="120" w:line="240" w:lineRule="auto"/>
              <w:jc w:val="right"/>
              <w:rPr>
                <w:rFonts w:ascii="Dubai Light" w:eastAsia="Times New Roman" w:hAnsi="Dubai Light" w:cs="Dubai Light" w:hint="cs"/>
                <w:b/>
                <w:lang w:eastAsia="es-EC"/>
              </w:rPr>
            </w:pPr>
            <w:r w:rsidRPr="00B2635E">
              <w:rPr>
                <w:rFonts w:ascii="Dubai Light" w:eastAsia="Times New Roman" w:hAnsi="Dubai Light" w:cs="Dubai Light" w:hint="cs"/>
                <w:b/>
                <w:lang w:eastAsia="es-EC"/>
              </w:rPr>
              <w:t xml:space="preserve">TOTAL </w:t>
            </w:r>
          </w:p>
        </w:tc>
        <w:tc>
          <w:tcPr>
            <w:tcW w:w="851" w:type="dxa"/>
            <w:shd w:val="clear" w:color="auto" w:fill="auto"/>
            <w:noWrap/>
            <w:vAlign w:val="bottom"/>
            <w:hideMark/>
          </w:tcPr>
          <w:p w:rsidR="00942463" w:rsidRPr="00B2635E" w:rsidRDefault="00942463" w:rsidP="00C975B6">
            <w:pPr>
              <w:spacing w:before="120" w:after="120" w:line="240" w:lineRule="auto"/>
              <w:rPr>
                <w:rFonts w:ascii="Dubai Light" w:hAnsi="Dubai Light" w:cs="Dubai Light" w:hint="cs"/>
                <w:b/>
                <w:bCs/>
                <w:color w:val="000000"/>
              </w:rPr>
            </w:pPr>
            <w:r w:rsidRPr="00B2635E">
              <w:rPr>
                <w:rFonts w:ascii="Dubai Light" w:hAnsi="Dubai Light" w:cs="Dubai Light" w:hint="cs"/>
                <w:b/>
                <w:bCs/>
                <w:color w:val="000000"/>
              </w:rPr>
              <w:t>22,818.09</w:t>
            </w:r>
          </w:p>
        </w:tc>
        <w:tc>
          <w:tcPr>
            <w:tcW w:w="992" w:type="dxa"/>
            <w:shd w:val="clear" w:color="auto" w:fill="auto"/>
            <w:noWrap/>
            <w:vAlign w:val="bottom"/>
            <w:hideMark/>
          </w:tcPr>
          <w:p w:rsidR="00942463" w:rsidRPr="00B2635E" w:rsidRDefault="00942463" w:rsidP="00C975B6">
            <w:pPr>
              <w:spacing w:before="120" w:after="120" w:line="240" w:lineRule="auto"/>
              <w:rPr>
                <w:rFonts w:ascii="Dubai Light" w:hAnsi="Dubai Light" w:cs="Dubai Light" w:hint="cs"/>
                <w:b/>
                <w:bCs/>
                <w:color w:val="000000"/>
              </w:rPr>
            </w:pPr>
            <w:r w:rsidRPr="00B2635E">
              <w:rPr>
                <w:rFonts w:ascii="Dubai Light" w:hAnsi="Dubai Light" w:cs="Dubai Light" w:hint="cs"/>
                <w:b/>
                <w:bCs/>
                <w:color w:val="000000"/>
              </w:rPr>
              <w:t>2,695.42</w:t>
            </w:r>
          </w:p>
        </w:tc>
        <w:tc>
          <w:tcPr>
            <w:tcW w:w="851" w:type="dxa"/>
            <w:shd w:val="clear" w:color="auto" w:fill="auto"/>
            <w:noWrap/>
            <w:vAlign w:val="bottom"/>
            <w:hideMark/>
          </w:tcPr>
          <w:p w:rsidR="00942463" w:rsidRPr="00B2635E" w:rsidRDefault="00942463" w:rsidP="00C975B6">
            <w:pPr>
              <w:spacing w:before="120" w:after="120" w:line="240" w:lineRule="auto"/>
              <w:rPr>
                <w:rFonts w:ascii="Dubai Light" w:hAnsi="Dubai Light" w:cs="Dubai Light" w:hint="cs"/>
                <w:b/>
                <w:bCs/>
                <w:color w:val="000000"/>
              </w:rPr>
            </w:pPr>
            <w:r w:rsidRPr="00B2635E">
              <w:rPr>
                <w:rFonts w:ascii="Dubai Light" w:hAnsi="Dubai Light" w:cs="Dubai Light" w:hint="cs"/>
                <w:b/>
                <w:bCs/>
                <w:color w:val="000000"/>
              </w:rPr>
              <w:t>26,262.03</w:t>
            </w:r>
          </w:p>
        </w:tc>
      </w:tr>
    </w:tbl>
    <w:p w:rsidR="00942463" w:rsidRPr="00B2635E" w:rsidRDefault="00942463" w:rsidP="00582805">
      <w:pPr>
        <w:jc w:val="both"/>
        <w:rPr>
          <w:rFonts w:ascii="Dubai Light" w:hAnsi="Dubai Light" w:cs="Dubai Light" w:hint="cs"/>
          <w:sz w:val="24"/>
          <w:szCs w:val="24"/>
        </w:rPr>
      </w:pPr>
    </w:p>
    <w:p w:rsidR="00582805" w:rsidRPr="00B2635E" w:rsidRDefault="00582805" w:rsidP="00582805">
      <w:pPr>
        <w:pStyle w:val="Prrafodelista"/>
        <w:numPr>
          <w:ilvl w:val="0"/>
          <w:numId w:val="17"/>
        </w:num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GESTIÓN FINANCIERA</w:t>
      </w:r>
    </w:p>
    <w:p w:rsidR="00582805" w:rsidRPr="00B2635E" w:rsidRDefault="00582805" w:rsidP="00582805">
      <w:pPr>
        <w:jc w:val="both"/>
        <w:rPr>
          <w:rFonts w:ascii="Dubai Light" w:hAnsi="Dubai Light" w:cs="Dubai Light" w:hint="cs"/>
          <w:sz w:val="24"/>
          <w:szCs w:val="24"/>
        </w:rPr>
      </w:pPr>
      <w:r w:rsidRPr="00B2635E">
        <w:rPr>
          <w:rFonts w:ascii="Dubai Light" w:hAnsi="Dubai Light" w:cs="Dubai Light" w:hint="cs"/>
          <w:sz w:val="24"/>
          <w:szCs w:val="24"/>
        </w:rPr>
        <w:t xml:space="preserve">Dentro de la planificación institucional para el año 2018, el SPPAT ejecutó el 99,61% de su gasto corriente, priorizando la atención oportuna a las víctimas de accidentes de tránsito. </w:t>
      </w:r>
    </w:p>
    <w:p w:rsidR="000870E8" w:rsidRPr="00B2635E" w:rsidRDefault="000870E8" w:rsidP="00582805">
      <w:pPr>
        <w:jc w:val="both"/>
        <w:rPr>
          <w:rFonts w:ascii="Dubai Light" w:hAnsi="Dubai Light" w:cs="Dubai Light" w:hint="cs"/>
          <w:sz w:val="24"/>
          <w:szCs w:val="24"/>
        </w:rPr>
      </w:pPr>
    </w:p>
    <w:p w:rsidR="00582805" w:rsidRPr="00B2635E" w:rsidRDefault="00582805" w:rsidP="00582805">
      <w:pPr>
        <w:pStyle w:val="NormalWeb"/>
        <w:widowControl/>
        <w:suppressAutoHyphens w:val="0"/>
        <w:spacing w:before="0" w:after="0"/>
        <w:ind w:left="720"/>
        <w:jc w:val="center"/>
        <w:textAlignment w:val="auto"/>
        <w:rPr>
          <w:rFonts w:ascii="Dubai Light" w:hAnsi="Dubai Light" w:cs="Dubai Light" w:hint="cs"/>
          <w:b/>
          <w:bCs/>
          <w:color w:val="000000"/>
        </w:rPr>
      </w:pPr>
      <w:r w:rsidRPr="00B2635E">
        <w:rPr>
          <w:rFonts w:ascii="Dubai Light" w:hAnsi="Dubai Light" w:cs="Dubai Light" w:hint="cs"/>
          <w:b/>
          <w:bCs/>
          <w:color w:val="000000"/>
        </w:rPr>
        <w:t xml:space="preserve">EJECUCIÓN PRESUPUESTARIA POR GRUPO DE GASTO </w:t>
      </w:r>
    </w:p>
    <w:p w:rsidR="00582805" w:rsidRPr="00B2635E" w:rsidRDefault="00582805" w:rsidP="00582805">
      <w:pPr>
        <w:pStyle w:val="NormalWeb"/>
        <w:widowControl/>
        <w:suppressAutoHyphens w:val="0"/>
        <w:spacing w:before="0" w:after="0"/>
        <w:ind w:left="720"/>
        <w:jc w:val="center"/>
        <w:textAlignment w:val="auto"/>
        <w:rPr>
          <w:rFonts w:ascii="Dubai Light" w:hAnsi="Dubai Light" w:cs="Dubai Light" w:hint="cs"/>
          <w:b/>
          <w:bCs/>
          <w:color w:val="000000"/>
        </w:rPr>
      </w:pPr>
      <w:r w:rsidRPr="00B2635E">
        <w:rPr>
          <w:rFonts w:ascii="Dubai Light" w:hAnsi="Dubai Light" w:cs="Dubai Light" w:hint="cs"/>
          <w:b/>
          <w:bCs/>
          <w:color w:val="000000"/>
        </w:rPr>
        <w:t>(ENERO – DICIEMBRE 2018)</w:t>
      </w:r>
    </w:p>
    <w:p w:rsidR="00582805" w:rsidRPr="00B2635E" w:rsidRDefault="00582805" w:rsidP="00582805">
      <w:pPr>
        <w:pStyle w:val="NormalWeb"/>
        <w:widowControl/>
        <w:suppressAutoHyphens w:val="0"/>
        <w:spacing w:before="0" w:after="0"/>
        <w:ind w:left="720"/>
        <w:jc w:val="center"/>
        <w:textAlignment w:val="auto"/>
        <w:rPr>
          <w:rFonts w:ascii="Dubai Light" w:hAnsi="Dubai Light" w:cs="Dubai Light" w:hint="cs"/>
          <w:b/>
          <w:bCs/>
          <w:color w:val="000000"/>
        </w:rPr>
      </w:pPr>
    </w:p>
    <w:p w:rsidR="00582805" w:rsidRPr="00B2635E" w:rsidRDefault="00582805" w:rsidP="00942463">
      <w:pPr>
        <w:pStyle w:val="NormalWeb"/>
        <w:widowControl/>
        <w:suppressAutoHyphens w:val="0"/>
        <w:spacing w:before="0" w:after="0"/>
        <w:ind w:left="720"/>
        <w:textAlignment w:val="auto"/>
        <w:rPr>
          <w:rFonts w:ascii="Dubai Light" w:hAnsi="Dubai Light" w:cs="Dubai Light" w:hint="cs"/>
          <w:b/>
          <w:bCs/>
          <w:color w:val="000000"/>
        </w:rPr>
      </w:pPr>
      <w:r w:rsidRPr="00B2635E">
        <w:rPr>
          <w:rFonts w:ascii="Dubai Light" w:hAnsi="Dubai Light" w:cs="Dubai Light" w:hint="cs"/>
          <w:b/>
          <w:bCs/>
          <w:noProof/>
          <w:color w:val="000000"/>
        </w:rPr>
        <w:drawing>
          <wp:inline distT="0" distB="0" distL="0" distR="0" wp14:anchorId="1713B287" wp14:editId="69B49EBC">
            <wp:extent cx="5582863" cy="22673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221"/>
                    <a:stretch/>
                  </pic:blipFill>
                  <pic:spPr bwMode="auto">
                    <a:xfrm>
                      <a:off x="0" y="0"/>
                      <a:ext cx="5582863" cy="2267341"/>
                    </a:xfrm>
                    <a:prstGeom prst="rect">
                      <a:avLst/>
                    </a:prstGeom>
                    <a:noFill/>
                    <a:ln>
                      <a:noFill/>
                    </a:ln>
                    <a:extLst>
                      <a:ext uri="{53640926-AAD7-44D8-BBD7-CCE9431645EC}">
                        <a14:shadowObscured xmlns:a14="http://schemas.microsoft.com/office/drawing/2010/main"/>
                      </a:ext>
                    </a:extLst>
                  </pic:spPr>
                </pic:pic>
              </a:graphicData>
            </a:graphic>
          </wp:inline>
        </w:drawing>
      </w:r>
    </w:p>
    <w:p w:rsidR="00582805" w:rsidRPr="00B2635E" w:rsidRDefault="00582805" w:rsidP="00582805">
      <w:pPr>
        <w:jc w:val="center"/>
        <w:rPr>
          <w:rFonts w:ascii="Dubai Light" w:eastAsia="Times New Roman" w:hAnsi="Dubai Light" w:cs="Dubai Light" w:hint="cs"/>
          <w:sz w:val="20"/>
          <w:szCs w:val="20"/>
          <w:lang w:eastAsia="es-EC"/>
        </w:rPr>
      </w:pPr>
      <w:r w:rsidRPr="00B2635E">
        <w:rPr>
          <w:rFonts w:ascii="Dubai Light" w:eastAsia="Times New Roman" w:hAnsi="Dubai Light" w:cs="Dubai Light" w:hint="cs"/>
          <w:sz w:val="20"/>
          <w:szCs w:val="20"/>
          <w:lang w:eastAsia="es-EC"/>
        </w:rPr>
        <w:t>Fuente: Dirección Financiera</w:t>
      </w:r>
    </w:p>
    <w:p w:rsidR="000870E8" w:rsidRPr="00B2635E" w:rsidRDefault="000870E8" w:rsidP="00582805">
      <w:pPr>
        <w:jc w:val="center"/>
        <w:rPr>
          <w:rFonts w:ascii="Dubai Light" w:eastAsia="Times New Roman" w:hAnsi="Dubai Light" w:cs="Dubai Light" w:hint="cs"/>
          <w:sz w:val="24"/>
          <w:szCs w:val="24"/>
          <w:lang w:eastAsia="es-EC"/>
        </w:rPr>
      </w:pPr>
    </w:p>
    <w:p w:rsidR="00A02E6A" w:rsidRPr="00B2635E" w:rsidRDefault="00A02E6A" w:rsidP="00007CE3">
      <w:pPr>
        <w:pStyle w:val="Prrafodelista"/>
        <w:numPr>
          <w:ilvl w:val="0"/>
          <w:numId w:val="17"/>
        </w:num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 xml:space="preserve">GESTIÓN </w:t>
      </w:r>
      <w:r w:rsidR="00007CE3" w:rsidRPr="00B2635E">
        <w:rPr>
          <w:rFonts w:ascii="Dubai Light" w:hAnsi="Dubai Light" w:cs="Dubai Light" w:hint="cs"/>
          <w:b/>
          <w:sz w:val="24"/>
          <w:szCs w:val="24"/>
          <w:u w:val="single"/>
        </w:rPr>
        <w:t>DE SEGUIMIENTO Y EVALUACIÓN DEL SERVICIO</w:t>
      </w:r>
    </w:p>
    <w:p w:rsidR="00582805" w:rsidRPr="00B2635E" w:rsidRDefault="00582805" w:rsidP="00007CE3">
      <w:pPr>
        <w:autoSpaceDE w:val="0"/>
        <w:autoSpaceDN w:val="0"/>
        <w:adjustRightInd w:val="0"/>
        <w:jc w:val="both"/>
        <w:rPr>
          <w:rFonts w:ascii="Dubai Light" w:hAnsi="Dubai Light" w:cs="Dubai Light" w:hint="cs"/>
          <w:b/>
          <w:sz w:val="24"/>
          <w:szCs w:val="24"/>
        </w:rPr>
      </w:pPr>
      <w:r w:rsidRPr="00B2635E">
        <w:rPr>
          <w:rFonts w:ascii="Dubai Light" w:hAnsi="Dubai Light" w:cs="Dubai Light" w:hint="cs"/>
          <w:b/>
          <w:sz w:val="24"/>
          <w:szCs w:val="24"/>
        </w:rPr>
        <w:lastRenderedPageBreak/>
        <w:t>Implementación de Oficinas Zonales del SPPAT</w:t>
      </w:r>
    </w:p>
    <w:p w:rsidR="00582805"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Para dar cumplimiento al Compromiso Presidencial 144, el SPPAT ejecutó las gestiones necesarias y pertinentes en el Ministerio de Trabajo y Ministerio de Finanzas para con la aprobación de SENPLADES implementar 11 oficinas técnicas en territorio, las cuales se encuentran atendiendo a partir del 2 de enero del año 2018, y brindan atención a las víctimas de siniestros de tránsito y sus familiares en las 5 protecciones que brinda el SPPAT y además realizan la articulación necesaria para que estas personas reciban la atención psicológica, orientación legal y atención social que requieren en coordinación con: Ministerio de Salud, Consejo de la Judicatura y Ministerio de Inclusión Económica y Social.</w:t>
      </w:r>
    </w:p>
    <w:p w:rsidR="00582805"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Las oficinas del SPPAT se encuentran ubicadas en Quito (matriz) y las oficinas técnicas en territorio en las ciudades de: Ambato, Babahoyo, Cuenca, Esmeraldas, Guayaquil, Ibarra, Loja, Machala, Portoviejo, Riobamba y Santo Domingo.</w:t>
      </w:r>
    </w:p>
    <w:p w:rsidR="00582805"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Las oficinas de atención están ubicadas estratégicamente acogiendo la zonificación de la SENPLADES, identificando los lugares con mayor siniestralidad en el país y, sobre todo, buscando que el ciudadano no tenga que trasladarse desde sus localidades a lugares lejanos.</w:t>
      </w:r>
    </w:p>
    <w:p w:rsidR="00582805"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La zona de cobertura que brindan estas oficinas a nivel nacional es la siguiente:</w:t>
      </w:r>
    </w:p>
    <w:p w:rsidR="00582805" w:rsidRPr="00B2635E" w:rsidRDefault="00582805" w:rsidP="00582805">
      <w:pPr>
        <w:autoSpaceDE w:val="0"/>
        <w:autoSpaceDN w:val="0"/>
        <w:adjustRightInd w:val="0"/>
        <w:jc w:val="both"/>
        <w:rPr>
          <w:rFonts w:ascii="Dubai Light" w:hAnsi="Dubai Light" w:cs="Dubai Light" w:hint="cs"/>
          <w:sz w:val="24"/>
          <w:szCs w:val="24"/>
        </w:rPr>
      </w:pPr>
    </w:p>
    <w:p w:rsidR="00582805" w:rsidRPr="00B2635E" w:rsidRDefault="00582805" w:rsidP="00942463">
      <w:pPr>
        <w:autoSpaceDE w:val="0"/>
        <w:autoSpaceDN w:val="0"/>
        <w:adjustRightInd w:val="0"/>
        <w:jc w:val="center"/>
        <w:rPr>
          <w:rFonts w:ascii="Dubai Light" w:hAnsi="Dubai Light" w:cs="Dubai Light" w:hint="cs"/>
          <w:sz w:val="24"/>
          <w:szCs w:val="24"/>
        </w:rPr>
      </w:pPr>
      <w:r w:rsidRPr="00B2635E">
        <w:rPr>
          <w:rFonts w:ascii="Dubai Light" w:hAnsi="Dubai Light" w:cs="Dubai Light" w:hint="cs"/>
          <w:noProof/>
          <w:sz w:val="24"/>
          <w:szCs w:val="24"/>
          <w:lang w:eastAsia="es-EC"/>
        </w:rPr>
        <w:lastRenderedPageBreak/>
        <w:drawing>
          <wp:inline distT="0" distB="0" distL="0" distR="0" wp14:anchorId="513A8D41" wp14:editId="4E49D339">
            <wp:extent cx="4640700" cy="3285142"/>
            <wp:effectExtent l="0" t="0" r="762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43985" cy="3287467"/>
                    </a:xfrm>
                    <a:prstGeom prst="rect">
                      <a:avLst/>
                    </a:prstGeom>
                  </pic:spPr>
                </pic:pic>
              </a:graphicData>
            </a:graphic>
          </wp:inline>
        </w:drawing>
      </w:r>
    </w:p>
    <w:p w:rsidR="005A0618" w:rsidRPr="00B2635E" w:rsidRDefault="005A0618" w:rsidP="000D104C">
      <w:pPr>
        <w:autoSpaceDE w:val="0"/>
        <w:autoSpaceDN w:val="0"/>
        <w:adjustRightInd w:val="0"/>
        <w:jc w:val="both"/>
        <w:rPr>
          <w:rFonts w:ascii="Dubai Light" w:hAnsi="Dubai Light" w:cs="Dubai Light" w:hint="cs"/>
          <w:b/>
          <w:sz w:val="24"/>
          <w:szCs w:val="24"/>
        </w:rPr>
      </w:pPr>
    </w:p>
    <w:p w:rsidR="00582805" w:rsidRPr="00B2635E" w:rsidRDefault="00582805" w:rsidP="000D104C">
      <w:pPr>
        <w:autoSpaceDE w:val="0"/>
        <w:autoSpaceDN w:val="0"/>
        <w:adjustRightInd w:val="0"/>
        <w:jc w:val="both"/>
        <w:rPr>
          <w:rFonts w:ascii="Dubai Light" w:hAnsi="Dubai Light" w:cs="Dubai Light" w:hint="cs"/>
          <w:b/>
          <w:sz w:val="24"/>
          <w:szCs w:val="24"/>
        </w:rPr>
      </w:pPr>
      <w:r w:rsidRPr="00B2635E">
        <w:rPr>
          <w:rFonts w:ascii="Dubai Light" w:hAnsi="Dubai Light" w:cs="Dubai Light" w:hint="cs"/>
          <w:b/>
          <w:sz w:val="24"/>
          <w:szCs w:val="24"/>
        </w:rPr>
        <w:t>Funciones de las oficinas zonales</w:t>
      </w:r>
    </w:p>
    <w:p w:rsidR="00582805"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Las 1</w:t>
      </w:r>
      <w:r w:rsidR="000D104C" w:rsidRPr="00B2635E">
        <w:rPr>
          <w:rFonts w:ascii="Dubai Light" w:hAnsi="Dubai Light" w:cs="Dubai Light" w:hint="cs"/>
          <w:sz w:val="24"/>
          <w:szCs w:val="24"/>
        </w:rPr>
        <w:t>1</w:t>
      </w:r>
      <w:r w:rsidRPr="00B2635E">
        <w:rPr>
          <w:rFonts w:ascii="Dubai Light" w:hAnsi="Dubai Light" w:cs="Dubai Light" w:hint="cs"/>
          <w:sz w:val="24"/>
          <w:szCs w:val="24"/>
        </w:rPr>
        <w:t xml:space="preserve"> oficinas técnicas zonales del Servicio Público para Pago de Accidentes de Tránsito cumplen dos roles principales, los cuales se detallan a continuación:</w:t>
      </w:r>
    </w:p>
    <w:p w:rsidR="00582805" w:rsidRPr="00B2635E" w:rsidRDefault="00582805" w:rsidP="000D104C">
      <w:pPr>
        <w:pStyle w:val="Prrafodelista"/>
        <w:numPr>
          <w:ilvl w:val="0"/>
          <w:numId w:val="30"/>
        </w:numPr>
        <w:autoSpaceDE w:val="0"/>
        <w:autoSpaceDN w:val="0"/>
        <w:adjustRightInd w:val="0"/>
        <w:jc w:val="both"/>
        <w:rPr>
          <w:rFonts w:ascii="Dubai Light" w:hAnsi="Dubai Light" w:cs="Dubai Light" w:hint="cs"/>
          <w:sz w:val="24"/>
          <w:szCs w:val="24"/>
          <w:u w:val="single"/>
        </w:rPr>
      </w:pPr>
      <w:r w:rsidRPr="00B2635E">
        <w:rPr>
          <w:rFonts w:ascii="Dubai Light" w:hAnsi="Dubai Light" w:cs="Dubai Light" w:hint="cs"/>
          <w:sz w:val="24"/>
          <w:szCs w:val="24"/>
          <w:u w:val="single"/>
        </w:rPr>
        <w:t>IN SITU</w:t>
      </w:r>
    </w:p>
    <w:p w:rsidR="000D104C" w:rsidRPr="00B2635E" w:rsidRDefault="000D104C" w:rsidP="000D104C">
      <w:pPr>
        <w:pStyle w:val="Prrafodelista"/>
        <w:autoSpaceDE w:val="0"/>
        <w:autoSpaceDN w:val="0"/>
        <w:adjustRightInd w:val="0"/>
        <w:jc w:val="both"/>
        <w:rPr>
          <w:rFonts w:ascii="Dubai Light" w:hAnsi="Dubai Light" w:cs="Dubai Light" w:hint="cs"/>
          <w:sz w:val="24"/>
          <w:szCs w:val="24"/>
          <w:u w:val="single"/>
        </w:rPr>
      </w:pPr>
    </w:p>
    <w:p w:rsidR="00EF04BC" w:rsidRPr="00B2635E" w:rsidRDefault="00582805" w:rsidP="00B2635E">
      <w:pPr>
        <w:pStyle w:val="Prrafodelista"/>
        <w:numPr>
          <w:ilvl w:val="0"/>
          <w:numId w:val="31"/>
        </w:num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Brindar atención y asesoría personalizada in situ, a las víctimas que han sufrido accidentes de tránsito, así como a sus familiares, sobre las diferentes protecciones que brinda el SPPAT, como acceder a ellas, la gratuidad de las mismas y la no necesidad de representación legal. Para el efecto, los funcionarios a cargo de las oficinas técnicas se activan en respuesta a los accidentes de tránsito que ocurren en territorio nacional, y acuden a Casas de Salud, Centros Forenses y demás instituciones tan pronto ocurra un accidente de tránsito para brindar asesoría adecuada a víctimas y familiares.</w:t>
      </w:r>
    </w:p>
    <w:p w:rsidR="00B2635E" w:rsidRPr="00B2635E" w:rsidRDefault="00B2635E" w:rsidP="00B2635E">
      <w:pPr>
        <w:pStyle w:val="Prrafodelista"/>
        <w:autoSpaceDE w:val="0"/>
        <w:autoSpaceDN w:val="0"/>
        <w:adjustRightInd w:val="0"/>
        <w:jc w:val="both"/>
        <w:rPr>
          <w:rFonts w:ascii="Dubai Light" w:hAnsi="Dubai Light" w:cs="Dubai Light" w:hint="cs"/>
          <w:sz w:val="24"/>
          <w:szCs w:val="24"/>
        </w:rPr>
      </w:pPr>
    </w:p>
    <w:p w:rsidR="00582805" w:rsidRPr="00B2635E" w:rsidRDefault="00582805" w:rsidP="00EF04BC">
      <w:pPr>
        <w:pStyle w:val="Prrafodelista"/>
        <w:numPr>
          <w:ilvl w:val="0"/>
          <w:numId w:val="30"/>
        </w:numPr>
        <w:autoSpaceDE w:val="0"/>
        <w:autoSpaceDN w:val="0"/>
        <w:adjustRightInd w:val="0"/>
        <w:jc w:val="both"/>
        <w:rPr>
          <w:rFonts w:ascii="Dubai Light" w:hAnsi="Dubai Light" w:cs="Dubai Light" w:hint="cs"/>
          <w:sz w:val="24"/>
          <w:szCs w:val="24"/>
          <w:u w:val="single"/>
        </w:rPr>
      </w:pPr>
      <w:r w:rsidRPr="00B2635E">
        <w:rPr>
          <w:rFonts w:ascii="Dubai Light" w:hAnsi="Dubai Light" w:cs="Dubai Light" w:hint="cs"/>
          <w:sz w:val="24"/>
          <w:szCs w:val="24"/>
          <w:u w:val="single"/>
        </w:rPr>
        <w:t>OFICINA</w:t>
      </w:r>
    </w:p>
    <w:p w:rsidR="00EF04BC" w:rsidRPr="00B2635E" w:rsidRDefault="00EF04BC" w:rsidP="00EF04BC">
      <w:pPr>
        <w:pStyle w:val="Prrafodelista"/>
        <w:autoSpaceDE w:val="0"/>
        <w:autoSpaceDN w:val="0"/>
        <w:adjustRightInd w:val="0"/>
        <w:jc w:val="both"/>
        <w:rPr>
          <w:rFonts w:ascii="Dubai Light" w:hAnsi="Dubai Light" w:cs="Dubai Light" w:hint="cs"/>
          <w:sz w:val="24"/>
          <w:szCs w:val="24"/>
          <w:u w:val="single"/>
        </w:rPr>
      </w:pPr>
    </w:p>
    <w:p w:rsidR="00EF04BC" w:rsidRPr="00B2635E" w:rsidRDefault="00582805" w:rsidP="00582805">
      <w:pPr>
        <w:pStyle w:val="Prrafodelista"/>
        <w:numPr>
          <w:ilvl w:val="0"/>
          <w:numId w:val="31"/>
        </w:num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Asesoramiento a las víctimas que han sufrido accidentes de tránsito, así como a sus familiares, sobre las diferentes protecciones que brinda el SPPAT, como acceder a ellas, la gratuidad de las mismas y la no necesidad de representación legal.</w:t>
      </w:r>
    </w:p>
    <w:p w:rsidR="00EF04BC" w:rsidRPr="00B2635E" w:rsidRDefault="00EF04BC" w:rsidP="00EF04BC">
      <w:pPr>
        <w:pStyle w:val="Prrafodelista"/>
        <w:autoSpaceDE w:val="0"/>
        <w:autoSpaceDN w:val="0"/>
        <w:adjustRightInd w:val="0"/>
        <w:jc w:val="both"/>
        <w:rPr>
          <w:rFonts w:ascii="Dubai Light" w:hAnsi="Dubai Light" w:cs="Dubai Light" w:hint="cs"/>
          <w:sz w:val="24"/>
          <w:szCs w:val="24"/>
        </w:rPr>
      </w:pPr>
    </w:p>
    <w:p w:rsidR="00EF04BC" w:rsidRPr="00B2635E" w:rsidRDefault="00582805" w:rsidP="00582805">
      <w:pPr>
        <w:pStyle w:val="Prrafodelista"/>
        <w:numPr>
          <w:ilvl w:val="0"/>
          <w:numId w:val="31"/>
        </w:num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Recepción de toda la documentación relacionada a los requerimientos para el pago de las protecciones: movilización de la víctima, gastos médicos, discapacidad permanente, fallecimiento y gastos funerarios.</w:t>
      </w:r>
    </w:p>
    <w:p w:rsidR="00EF04BC" w:rsidRPr="00B2635E" w:rsidRDefault="00EF04BC" w:rsidP="00EF04BC">
      <w:pPr>
        <w:pStyle w:val="Prrafodelista"/>
        <w:autoSpaceDE w:val="0"/>
        <w:autoSpaceDN w:val="0"/>
        <w:adjustRightInd w:val="0"/>
        <w:jc w:val="both"/>
        <w:rPr>
          <w:rFonts w:ascii="Dubai Light" w:hAnsi="Dubai Light" w:cs="Dubai Light" w:hint="cs"/>
          <w:sz w:val="24"/>
          <w:szCs w:val="24"/>
        </w:rPr>
      </w:pPr>
    </w:p>
    <w:p w:rsidR="00EF04BC" w:rsidRPr="00B2635E" w:rsidRDefault="00582805" w:rsidP="00582805">
      <w:pPr>
        <w:pStyle w:val="Prrafodelista"/>
        <w:numPr>
          <w:ilvl w:val="0"/>
          <w:numId w:val="31"/>
        </w:num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Gestionar los requerimientos y reclamos ciudadanos para el pago de las protecciones otorgadas por el SPPAT.</w:t>
      </w:r>
    </w:p>
    <w:p w:rsidR="00EF04BC" w:rsidRPr="00B2635E" w:rsidRDefault="00EF04BC" w:rsidP="00EF04BC">
      <w:pPr>
        <w:pStyle w:val="Prrafodelista"/>
        <w:autoSpaceDE w:val="0"/>
        <w:autoSpaceDN w:val="0"/>
        <w:adjustRightInd w:val="0"/>
        <w:jc w:val="both"/>
        <w:rPr>
          <w:rFonts w:ascii="Dubai Light" w:hAnsi="Dubai Light" w:cs="Dubai Light" w:hint="cs"/>
          <w:sz w:val="24"/>
          <w:szCs w:val="24"/>
        </w:rPr>
      </w:pPr>
    </w:p>
    <w:p w:rsidR="00582805" w:rsidRPr="00B2635E" w:rsidRDefault="00582805" w:rsidP="00582805">
      <w:pPr>
        <w:pStyle w:val="Prrafodelista"/>
        <w:numPr>
          <w:ilvl w:val="0"/>
          <w:numId w:val="31"/>
        </w:num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Dar seguimiento a los trámites que conllevan pago por accidentes de tránsito.</w:t>
      </w:r>
    </w:p>
    <w:p w:rsidR="00D7560D" w:rsidRPr="00B2635E" w:rsidRDefault="00D7560D" w:rsidP="00D7560D">
      <w:pPr>
        <w:pStyle w:val="Prrafodelista"/>
        <w:rPr>
          <w:rFonts w:ascii="Dubai Light" w:hAnsi="Dubai Light" w:cs="Dubai Light" w:hint="cs"/>
          <w:sz w:val="24"/>
          <w:szCs w:val="24"/>
        </w:rPr>
      </w:pPr>
    </w:p>
    <w:p w:rsidR="00D7560D" w:rsidRPr="00B2635E" w:rsidRDefault="00D7560D" w:rsidP="00D7560D">
      <w:pPr>
        <w:pStyle w:val="Prrafodelista"/>
        <w:autoSpaceDE w:val="0"/>
        <w:autoSpaceDN w:val="0"/>
        <w:adjustRightInd w:val="0"/>
        <w:jc w:val="both"/>
        <w:rPr>
          <w:rFonts w:ascii="Dubai Light" w:hAnsi="Dubai Light" w:cs="Dubai Light" w:hint="cs"/>
          <w:sz w:val="24"/>
          <w:szCs w:val="24"/>
        </w:rPr>
      </w:pPr>
    </w:p>
    <w:p w:rsidR="00582805" w:rsidRPr="00B2635E" w:rsidRDefault="00582805" w:rsidP="005A0618">
      <w:pPr>
        <w:autoSpaceDE w:val="0"/>
        <w:autoSpaceDN w:val="0"/>
        <w:adjustRightInd w:val="0"/>
        <w:jc w:val="both"/>
        <w:rPr>
          <w:rFonts w:ascii="Dubai Light" w:hAnsi="Dubai Light" w:cs="Dubai Light" w:hint="cs"/>
          <w:b/>
          <w:sz w:val="24"/>
          <w:szCs w:val="24"/>
        </w:rPr>
      </w:pPr>
      <w:r w:rsidRPr="00B2635E">
        <w:rPr>
          <w:rFonts w:ascii="Dubai Light" w:hAnsi="Dubai Light" w:cs="Dubai Light" w:hint="cs"/>
          <w:b/>
          <w:sz w:val="24"/>
          <w:szCs w:val="24"/>
        </w:rPr>
        <w:t xml:space="preserve">Activación de las zonales </w:t>
      </w:r>
    </w:p>
    <w:p w:rsidR="00582805" w:rsidRPr="00B2635E" w:rsidRDefault="00582805" w:rsidP="00B2635E">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Para la activación del personal de oficinas zonales y posterior asesoramiento in situ, se sigue el siguiente proceso:</w:t>
      </w:r>
    </w:p>
    <w:p w:rsidR="00582805"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 xml:space="preserve">Informa a las instituciones correspondientes (MSP, SPPAT) sobre el lugar del accidente, victimas (heridos y/o muertes) y recursos movilizados al lugar del incidente.  </w:t>
      </w:r>
    </w:p>
    <w:p w:rsidR="005A0618"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*Cuando existen accidentes que no son reportados por el ECU 911, y que se conocen por la prensa o redes sociales, estos son verificados previo a la activación respectiva.</w:t>
      </w:r>
    </w:p>
    <w:p w:rsidR="00582805"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Se activa y se traslada a las diferentes casas de salud y/o morgues o centros forenses para contactar con los familiares o víctimas de los accidentes de tránsito. En el lugar se brinda asesoramiento y se explica el procedimiento para recibir las protecciones por parte del SPPAT.</w:t>
      </w:r>
      <w:r w:rsidR="0084566D" w:rsidRPr="00B2635E">
        <w:rPr>
          <w:rFonts w:ascii="Dubai Light" w:hAnsi="Dubai Light" w:cs="Dubai Light" w:hint="cs"/>
          <w:sz w:val="24"/>
          <w:szCs w:val="24"/>
        </w:rPr>
        <w:t xml:space="preserve"> A continuación, el número de las activaciones y atenciones en las oficinas zonales: </w:t>
      </w:r>
    </w:p>
    <w:p w:rsidR="00582805" w:rsidRPr="00B2635E" w:rsidRDefault="00582805" w:rsidP="00582805">
      <w:pPr>
        <w:tabs>
          <w:tab w:val="left" w:pos="2244"/>
        </w:tabs>
        <w:jc w:val="both"/>
        <w:rPr>
          <w:rFonts w:ascii="Dubai Light" w:hAnsi="Dubai Light" w:cs="Dubai Light" w:hint="cs"/>
          <w:sz w:val="24"/>
          <w:szCs w:val="24"/>
          <w:lang w:val="es-ES_tradnl"/>
        </w:rPr>
      </w:pPr>
    </w:p>
    <w:tbl>
      <w:tblPr>
        <w:tblW w:w="3876" w:type="dxa"/>
        <w:tblInd w:w="-5" w:type="dxa"/>
        <w:tblCellMar>
          <w:left w:w="70" w:type="dxa"/>
          <w:right w:w="70" w:type="dxa"/>
        </w:tblCellMar>
        <w:tblLook w:val="04A0" w:firstRow="1" w:lastRow="0" w:firstColumn="1" w:lastColumn="0" w:noHBand="0" w:noVBand="1"/>
      </w:tblPr>
      <w:tblGrid>
        <w:gridCol w:w="1509"/>
        <w:gridCol w:w="1099"/>
        <w:gridCol w:w="1268"/>
      </w:tblGrid>
      <w:tr w:rsidR="00582805" w:rsidRPr="00B2635E" w:rsidTr="0084566D">
        <w:trPr>
          <w:trHeight w:val="223"/>
        </w:trPr>
        <w:tc>
          <w:tcPr>
            <w:tcW w:w="3876" w:type="dxa"/>
            <w:gridSpan w:val="3"/>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582805" w:rsidRPr="00B2635E" w:rsidRDefault="00582805" w:rsidP="00C975B6">
            <w:pPr>
              <w:spacing w:after="0" w:line="240" w:lineRule="auto"/>
              <w:jc w:val="center"/>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ACTIV</w:t>
            </w:r>
            <w:r w:rsidR="00D7560D" w:rsidRPr="00B2635E">
              <w:rPr>
                <w:rFonts w:ascii="Dubai Light" w:eastAsia="Times New Roman" w:hAnsi="Dubai Light" w:cs="Dubai Light" w:hint="cs"/>
                <w:b/>
                <w:bCs/>
                <w:color w:val="000000"/>
                <w:sz w:val="24"/>
                <w:szCs w:val="24"/>
                <w:lang w:eastAsia="es-EC"/>
              </w:rPr>
              <w:t>ACIONES</w:t>
            </w:r>
          </w:p>
        </w:tc>
      </w:tr>
      <w:tr w:rsidR="00582805" w:rsidRPr="00B2635E" w:rsidTr="0084566D">
        <w:trPr>
          <w:trHeight w:val="380"/>
        </w:trPr>
        <w:tc>
          <w:tcPr>
            <w:tcW w:w="1509" w:type="dxa"/>
            <w:tcBorders>
              <w:top w:val="nil"/>
              <w:left w:val="single" w:sz="4" w:space="0" w:color="auto"/>
              <w:bottom w:val="single" w:sz="4" w:space="0" w:color="auto"/>
              <w:right w:val="single" w:sz="4" w:space="0" w:color="auto"/>
            </w:tcBorders>
            <w:shd w:val="clear" w:color="000000" w:fill="8EA9DB"/>
            <w:noWrap/>
            <w:vAlign w:val="center"/>
            <w:hideMark/>
          </w:tcPr>
          <w:p w:rsidR="00582805" w:rsidRPr="00B2635E" w:rsidRDefault="00582805" w:rsidP="00C975B6">
            <w:pPr>
              <w:spacing w:after="0" w:line="240" w:lineRule="auto"/>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Zonales</w:t>
            </w:r>
          </w:p>
        </w:tc>
        <w:tc>
          <w:tcPr>
            <w:tcW w:w="1099" w:type="dxa"/>
            <w:tcBorders>
              <w:top w:val="nil"/>
              <w:left w:val="nil"/>
              <w:bottom w:val="single" w:sz="4" w:space="0" w:color="auto"/>
              <w:right w:val="single" w:sz="4" w:space="0" w:color="auto"/>
            </w:tcBorders>
            <w:shd w:val="clear" w:color="FFF200" w:fill="8EA9DB"/>
            <w:vAlign w:val="center"/>
            <w:hideMark/>
          </w:tcPr>
          <w:p w:rsidR="00582805" w:rsidRPr="00B2635E" w:rsidRDefault="00582805" w:rsidP="00C975B6">
            <w:pPr>
              <w:spacing w:after="0" w:line="240" w:lineRule="auto"/>
              <w:jc w:val="center"/>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Casas de Salud</w:t>
            </w:r>
          </w:p>
        </w:tc>
        <w:tc>
          <w:tcPr>
            <w:tcW w:w="1268" w:type="dxa"/>
            <w:tcBorders>
              <w:top w:val="nil"/>
              <w:left w:val="nil"/>
              <w:bottom w:val="single" w:sz="4" w:space="0" w:color="auto"/>
              <w:right w:val="single" w:sz="4" w:space="0" w:color="auto"/>
            </w:tcBorders>
            <w:shd w:val="clear" w:color="FFF200" w:fill="8EA9DB"/>
            <w:vAlign w:val="center"/>
            <w:hideMark/>
          </w:tcPr>
          <w:p w:rsidR="00582805" w:rsidRPr="00B2635E" w:rsidRDefault="00582805" w:rsidP="00C975B6">
            <w:pPr>
              <w:spacing w:after="0" w:line="240" w:lineRule="auto"/>
              <w:jc w:val="center"/>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Centros Forenses</w:t>
            </w:r>
          </w:p>
        </w:tc>
      </w:tr>
      <w:tr w:rsidR="00582805" w:rsidRPr="00B2635E" w:rsidTr="0084566D">
        <w:trPr>
          <w:trHeight w:val="276"/>
        </w:trPr>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582805" w:rsidRPr="00B2635E" w:rsidRDefault="00582805" w:rsidP="00C975B6">
            <w:pPr>
              <w:spacing w:after="0" w:line="240" w:lineRule="auto"/>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TOTALES</w:t>
            </w:r>
          </w:p>
        </w:tc>
        <w:tc>
          <w:tcPr>
            <w:tcW w:w="1099" w:type="dxa"/>
            <w:tcBorders>
              <w:top w:val="nil"/>
              <w:left w:val="nil"/>
              <w:bottom w:val="single" w:sz="4" w:space="0" w:color="auto"/>
              <w:right w:val="single" w:sz="4" w:space="0" w:color="auto"/>
            </w:tcBorders>
            <w:shd w:val="clear" w:color="auto" w:fill="auto"/>
            <w:noWrap/>
            <w:vAlign w:val="center"/>
            <w:hideMark/>
          </w:tcPr>
          <w:p w:rsidR="00582805" w:rsidRPr="00B2635E" w:rsidRDefault="00582805" w:rsidP="00C975B6">
            <w:pPr>
              <w:spacing w:after="0" w:line="240" w:lineRule="auto"/>
              <w:jc w:val="right"/>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583</w:t>
            </w:r>
          </w:p>
        </w:tc>
        <w:tc>
          <w:tcPr>
            <w:tcW w:w="1268" w:type="dxa"/>
            <w:tcBorders>
              <w:top w:val="nil"/>
              <w:left w:val="nil"/>
              <w:bottom w:val="single" w:sz="4" w:space="0" w:color="auto"/>
              <w:right w:val="single" w:sz="4" w:space="0" w:color="auto"/>
            </w:tcBorders>
            <w:shd w:val="clear" w:color="auto" w:fill="auto"/>
            <w:noWrap/>
            <w:vAlign w:val="center"/>
            <w:hideMark/>
          </w:tcPr>
          <w:p w:rsidR="00582805" w:rsidRPr="00B2635E" w:rsidRDefault="00582805" w:rsidP="00C975B6">
            <w:pPr>
              <w:spacing w:after="0" w:line="240" w:lineRule="auto"/>
              <w:jc w:val="right"/>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459</w:t>
            </w:r>
          </w:p>
        </w:tc>
      </w:tr>
    </w:tbl>
    <w:tbl>
      <w:tblPr>
        <w:tblpPr w:leftFromText="141" w:rightFromText="141" w:vertAnchor="text" w:horzAnchor="margin" w:tblpXSpec="right" w:tblpY="-1223"/>
        <w:tblW w:w="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2"/>
        <w:gridCol w:w="2039"/>
      </w:tblGrid>
      <w:tr w:rsidR="0084566D" w:rsidRPr="00B2635E" w:rsidTr="0084566D">
        <w:trPr>
          <w:trHeight w:val="292"/>
        </w:trPr>
        <w:tc>
          <w:tcPr>
            <w:tcW w:w="3991" w:type="dxa"/>
            <w:gridSpan w:val="2"/>
            <w:shd w:val="clear" w:color="000000" w:fill="8EA9DB"/>
            <w:noWrap/>
            <w:vAlign w:val="center"/>
            <w:hideMark/>
          </w:tcPr>
          <w:p w:rsidR="0084566D" w:rsidRPr="00B2635E" w:rsidRDefault="0084566D" w:rsidP="0084566D">
            <w:pPr>
              <w:spacing w:after="0" w:line="240" w:lineRule="auto"/>
              <w:jc w:val="center"/>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ATENCIONES</w:t>
            </w:r>
          </w:p>
        </w:tc>
      </w:tr>
      <w:tr w:rsidR="0084566D" w:rsidRPr="00B2635E" w:rsidTr="0084566D">
        <w:trPr>
          <w:trHeight w:val="499"/>
        </w:trPr>
        <w:tc>
          <w:tcPr>
            <w:tcW w:w="1952" w:type="dxa"/>
            <w:shd w:val="clear" w:color="000000" w:fill="8EA9DB"/>
            <w:noWrap/>
            <w:vAlign w:val="center"/>
            <w:hideMark/>
          </w:tcPr>
          <w:p w:rsidR="0084566D" w:rsidRPr="00B2635E" w:rsidRDefault="0084566D" w:rsidP="0084566D">
            <w:pPr>
              <w:spacing w:after="0" w:line="240" w:lineRule="auto"/>
              <w:jc w:val="center"/>
              <w:rPr>
                <w:rFonts w:ascii="Dubai Light" w:eastAsia="Times New Roman" w:hAnsi="Dubai Light" w:cs="Dubai Light" w:hint="cs"/>
                <w:b/>
                <w:bCs/>
                <w:color w:val="000000"/>
                <w:sz w:val="24"/>
                <w:szCs w:val="24"/>
                <w:highlight w:val="yellow"/>
                <w:lang w:eastAsia="es-EC"/>
              </w:rPr>
            </w:pPr>
            <w:r w:rsidRPr="00B2635E">
              <w:rPr>
                <w:rFonts w:ascii="Dubai Light" w:eastAsia="Times New Roman" w:hAnsi="Dubai Light" w:cs="Dubai Light" w:hint="cs"/>
                <w:b/>
                <w:bCs/>
                <w:color w:val="000000"/>
                <w:sz w:val="24"/>
                <w:szCs w:val="24"/>
                <w:lang w:eastAsia="es-EC"/>
              </w:rPr>
              <w:t>Zonales</w:t>
            </w:r>
          </w:p>
        </w:tc>
        <w:tc>
          <w:tcPr>
            <w:tcW w:w="2039" w:type="dxa"/>
            <w:shd w:val="clear" w:color="FFF200" w:fill="8EA9DB"/>
            <w:vAlign w:val="center"/>
            <w:hideMark/>
          </w:tcPr>
          <w:p w:rsidR="0084566D" w:rsidRPr="00B2635E" w:rsidRDefault="0084566D" w:rsidP="0084566D">
            <w:pPr>
              <w:spacing w:after="0" w:line="240" w:lineRule="auto"/>
              <w:jc w:val="center"/>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Atenciones</w:t>
            </w:r>
          </w:p>
        </w:tc>
      </w:tr>
      <w:tr w:rsidR="0084566D" w:rsidRPr="00B2635E" w:rsidTr="0084566D">
        <w:trPr>
          <w:trHeight w:val="362"/>
        </w:trPr>
        <w:tc>
          <w:tcPr>
            <w:tcW w:w="1952" w:type="dxa"/>
            <w:shd w:val="clear" w:color="auto" w:fill="auto"/>
            <w:noWrap/>
            <w:vAlign w:val="center"/>
            <w:hideMark/>
          </w:tcPr>
          <w:p w:rsidR="0084566D" w:rsidRPr="00B2635E" w:rsidRDefault="0084566D" w:rsidP="0084566D">
            <w:pPr>
              <w:spacing w:after="0" w:line="240" w:lineRule="auto"/>
              <w:rPr>
                <w:rFonts w:ascii="Dubai Light" w:eastAsia="Times New Roman" w:hAnsi="Dubai Light" w:cs="Dubai Light" w:hint="cs"/>
                <w:b/>
                <w:bCs/>
                <w:color w:val="000000"/>
                <w:sz w:val="24"/>
                <w:szCs w:val="24"/>
                <w:highlight w:val="yellow"/>
                <w:lang w:eastAsia="es-EC"/>
              </w:rPr>
            </w:pPr>
            <w:r w:rsidRPr="00B2635E">
              <w:rPr>
                <w:rFonts w:ascii="Dubai Light" w:eastAsia="Times New Roman" w:hAnsi="Dubai Light" w:cs="Dubai Light" w:hint="cs"/>
                <w:b/>
                <w:bCs/>
                <w:color w:val="000000"/>
                <w:sz w:val="24"/>
                <w:szCs w:val="24"/>
                <w:lang w:eastAsia="es-EC"/>
              </w:rPr>
              <w:t>TOTALES</w:t>
            </w:r>
          </w:p>
        </w:tc>
        <w:tc>
          <w:tcPr>
            <w:tcW w:w="2039" w:type="dxa"/>
            <w:shd w:val="clear" w:color="auto" w:fill="auto"/>
            <w:noWrap/>
            <w:vAlign w:val="center"/>
            <w:hideMark/>
          </w:tcPr>
          <w:p w:rsidR="0084566D" w:rsidRPr="00B2635E" w:rsidRDefault="0084566D" w:rsidP="0084566D">
            <w:pPr>
              <w:spacing w:after="0" w:line="240" w:lineRule="auto"/>
              <w:jc w:val="right"/>
              <w:rPr>
                <w:rFonts w:ascii="Dubai Light" w:eastAsia="Times New Roman" w:hAnsi="Dubai Light" w:cs="Dubai Light" w:hint="cs"/>
                <w:b/>
                <w:bCs/>
                <w:color w:val="000000"/>
                <w:sz w:val="24"/>
                <w:szCs w:val="24"/>
                <w:lang w:eastAsia="es-EC"/>
              </w:rPr>
            </w:pPr>
            <w:r w:rsidRPr="00B2635E">
              <w:rPr>
                <w:rFonts w:ascii="Dubai Light" w:eastAsia="Times New Roman" w:hAnsi="Dubai Light" w:cs="Dubai Light" w:hint="cs"/>
                <w:b/>
                <w:bCs/>
                <w:color w:val="000000"/>
                <w:sz w:val="24"/>
                <w:szCs w:val="24"/>
                <w:lang w:eastAsia="es-EC"/>
              </w:rPr>
              <w:t>8723</w:t>
            </w:r>
          </w:p>
        </w:tc>
      </w:tr>
    </w:tbl>
    <w:p w:rsidR="005A0618" w:rsidRPr="00B2635E" w:rsidRDefault="005A0618" w:rsidP="00582805">
      <w:pPr>
        <w:spacing w:after="160" w:line="256" w:lineRule="auto"/>
        <w:rPr>
          <w:rFonts w:ascii="Dubai Light" w:hAnsi="Dubai Light" w:cs="Dubai Light" w:hint="cs"/>
          <w:b/>
          <w:sz w:val="24"/>
          <w:szCs w:val="24"/>
        </w:rPr>
      </w:pPr>
    </w:p>
    <w:p w:rsidR="002A55CB" w:rsidRPr="00B2635E" w:rsidRDefault="002A55CB" w:rsidP="00582805">
      <w:pPr>
        <w:autoSpaceDE w:val="0"/>
        <w:autoSpaceDN w:val="0"/>
        <w:adjustRightInd w:val="0"/>
        <w:jc w:val="both"/>
        <w:rPr>
          <w:rFonts w:ascii="Dubai Light" w:hAnsi="Dubai Light" w:cs="Dubai Light" w:hint="cs"/>
          <w:b/>
          <w:sz w:val="24"/>
          <w:szCs w:val="24"/>
        </w:rPr>
      </w:pPr>
    </w:p>
    <w:p w:rsidR="00582805" w:rsidRPr="00B2635E" w:rsidRDefault="00582805" w:rsidP="00582805">
      <w:pPr>
        <w:autoSpaceDE w:val="0"/>
        <w:autoSpaceDN w:val="0"/>
        <w:adjustRightInd w:val="0"/>
        <w:jc w:val="both"/>
        <w:rPr>
          <w:rFonts w:ascii="Dubai Light" w:hAnsi="Dubai Light" w:cs="Dubai Light" w:hint="cs"/>
          <w:b/>
          <w:sz w:val="24"/>
          <w:szCs w:val="24"/>
        </w:rPr>
      </w:pPr>
      <w:r w:rsidRPr="00B2635E">
        <w:rPr>
          <w:rFonts w:ascii="Dubai Light" w:hAnsi="Dubai Light" w:cs="Dubai Light" w:hint="cs"/>
          <w:b/>
          <w:sz w:val="24"/>
          <w:szCs w:val="24"/>
        </w:rPr>
        <w:t>Desafíos para el año 2019</w:t>
      </w:r>
    </w:p>
    <w:p w:rsidR="00582805" w:rsidRPr="00B2635E" w:rsidRDefault="00582805" w:rsidP="00582805">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Para el presente año 2019 el SPPAT plantea cuatro grandes desafíos que son:</w:t>
      </w:r>
    </w:p>
    <w:p w:rsidR="00582805" w:rsidRPr="00B2635E" w:rsidRDefault="00582805" w:rsidP="00582805">
      <w:pPr>
        <w:pStyle w:val="Prrafodelista"/>
        <w:numPr>
          <w:ilvl w:val="0"/>
          <w:numId w:val="8"/>
        </w:numPr>
        <w:autoSpaceDE w:val="0"/>
        <w:autoSpaceDN w:val="0"/>
        <w:adjustRightInd w:val="0"/>
        <w:jc w:val="both"/>
        <w:rPr>
          <w:rFonts w:ascii="Dubai Light" w:hAnsi="Dubai Light" w:cs="Dubai Light" w:hint="cs"/>
          <w:b/>
          <w:sz w:val="24"/>
          <w:szCs w:val="24"/>
        </w:rPr>
      </w:pPr>
      <w:r w:rsidRPr="00B2635E">
        <w:rPr>
          <w:rFonts w:ascii="Dubai Light" w:hAnsi="Dubai Light" w:cs="Dubai Light" w:hint="cs"/>
          <w:b/>
          <w:sz w:val="24"/>
          <w:szCs w:val="24"/>
          <w:lang w:val="es-ES_tradnl"/>
        </w:rPr>
        <w:t xml:space="preserve">Reducir </w:t>
      </w:r>
      <w:r w:rsidRPr="00B2635E">
        <w:rPr>
          <w:rFonts w:ascii="Dubai Light" w:hAnsi="Dubai Light" w:cs="Dubai Light" w:hint="cs"/>
          <w:sz w:val="24"/>
          <w:szCs w:val="24"/>
          <w:lang w:val="es-ES_tradnl"/>
        </w:rPr>
        <w:t>los tiempos de procesamiento de expedientes y casos en todas las prestaciones en las distintas casas de salud a nivel nacional.</w:t>
      </w:r>
    </w:p>
    <w:p w:rsidR="00582805" w:rsidRPr="00B2635E" w:rsidRDefault="00582805" w:rsidP="00582805">
      <w:pPr>
        <w:pStyle w:val="Prrafodelista"/>
        <w:numPr>
          <w:ilvl w:val="0"/>
          <w:numId w:val="8"/>
        </w:numPr>
        <w:autoSpaceDE w:val="0"/>
        <w:autoSpaceDN w:val="0"/>
        <w:adjustRightInd w:val="0"/>
        <w:jc w:val="both"/>
        <w:rPr>
          <w:rFonts w:ascii="Dubai Light" w:hAnsi="Dubai Light" w:cs="Dubai Light" w:hint="cs"/>
          <w:sz w:val="24"/>
          <w:szCs w:val="24"/>
        </w:rPr>
      </w:pPr>
      <w:r w:rsidRPr="00B2635E">
        <w:rPr>
          <w:rFonts w:ascii="Dubai Light" w:hAnsi="Dubai Light" w:cs="Dubai Light" w:hint="cs"/>
          <w:b/>
          <w:sz w:val="24"/>
          <w:szCs w:val="24"/>
          <w:lang w:val="es-ES_tradnl"/>
        </w:rPr>
        <w:t>Fortalecer las oficinas técnicas de atención a usuarios en las 11 zonales institucionales</w:t>
      </w:r>
      <w:r w:rsidRPr="00B2635E">
        <w:rPr>
          <w:rFonts w:ascii="Dubai Light" w:hAnsi="Dubai Light" w:cs="Dubai Light" w:hint="cs"/>
          <w:sz w:val="24"/>
          <w:szCs w:val="24"/>
          <w:lang w:val="es-ES_tradnl"/>
        </w:rPr>
        <w:t>, para que brinden el servicio de manera oportuna a través de una institución pública.</w:t>
      </w:r>
    </w:p>
    <w:p w:rsidR="00582805" w:rsidRPr="00B2635E" w:rsidRDefault="00582805" w:rsidP="00582805">
      <w:pPr>
        <w:pStyle w:val="Prrafodelista"/>
        <w:numPr>
          <w:ilvl w:val="0"/>
          <w:numId w:val="8"/>
        </w:numPr>
        <w:autoSpaceDE w:val="0"/>
        <w:autoSpaceDN w:val="0"/>
        <w:adjustRightInd w:val="0"/>
        <w:jc w:val="both"/>
        <w:rPr>
          <w:rFonts w:ascii="Dubai Light" w:hAnsi="Dubai Light" w:cs="Dubai Light" w:hint="cs"/>
          <w:sz w:val="24"/>
          <w:szCs w:val="24"/>
        </w:rPr>
      </w:pPr>
      <w:r w:rsidRPr="00B2635E">
        <w:rPr>
          <w:rFonts w:ascii="Dubai Light" w:hAnsi="Dubai Light" w:cs="Dubai Light" w:hint="cs"/>
          <w:b/>
          <w:sz w:val="24"/>
          <w:szCs w:val="24"/>
          <w:lang w:val="es-ES_tradnl"/>
        </w:rPr>
        <w:t xml:space="preserve">Reforzar </w:t>
      </w:r>
      <w:r w:rsidRPr="00B2635E">
        <w:rPr>
          <w:rFonts w:ascii="Dubai Light" w:hAnsi="Dubai Light" w:cs="Dubai Light" w:hint="cs"/>
          <w:sz w:val="24"/>
          <w:szCs w:val="24"/>
          <w:lang w:val="es-ES_tradnl"/>
        </w:rPr>
        <w:t xml:space="preserve">la imagen institucional y difundir las protecciones del SPPAT como un derecho de los ciudadanos. </w:t>
      </w:r>
    </w:p>
    <w:p w:rsidR="00582805" w:rsidRPr="00B2635E" w:rsidRDefault="00582805" w:rsidP="00582805">
      <w:pPr>
        <w:pStyle w:val="Prrafodelista"/>
        <w:rPr>
          <w:rFonts w:ascii="Dubai Light" w:hAnsi="Dubai Light" w:cs="Dubai Light" w:hint="cs"/>
          <w:sz w:val="24"/>
          <w:szCs w:val="24"/>
        </w:rPr>
      </w:pPr>
    </w:p>
    <w:p w:rsidR="00582805" w:rsidRPr="00B2635E" w:rsidRDefault="00582805" w:rsidP="00582805">
      <w:pPr>
        <w:pStyle w:val="Prrafodelista"/>
        <w:numPr>
          <w:ilvl w:val="0"/>
          <w:numId w:val="8"/>
        </w:numPr>
        <w:autoSpaceDE w:val="0"/>
        <w:autoSpaceDN w:val="0"/>
        <w:adjustRightInd w:val="0"/>
        <w:jc w:val="both"/>
        <w:rPr>
          <w:rFonts w:ascii="Dubai Light" w:hAnsi="Dubai Light" w:cs="Dubai Light" w:hint="cs"/>
          <w:b/>
          <w:sz w:val="24"/>
          <w:szCs w:val="24"/>
        </w:rPr>
      </w:pPr>
      <w:r w:rsidRPr="00B2635E">
        <w:rPr>
          <w:rFonts w:ascii="Dubai Light" w:hAnsi="Dubai Light" w:cs="Dubai Light" w:hint="cs"/>
          <w:b/>
          <w:sz w:val="24"/>
          <w:szCs w:val="24"/>
          <w:lang w:val="es-ES_tradnl"/>
        </w:rPr>
        <w:t xml:space="preserve">Planificación de Talento Humano y cronograma de concursos, </w:t>
      </w:r>
      <w:r w:rsidRPr="00B2635E">
        <w:rPr>
          <w:rFonts w:ascii="Dubai Light" w:hAnsi="Dubai Light" w:cs="Dubai Light" w:hint="cs"/>
          <w:sz w:val="24"/>
          <w:szCs w:val="24"/>
          <w:lang w:val="es-ES_tradnl"/>
        </w:rPr>
        <w:t>para culminar con el proceso de institucionalidad del SPPAT y tener una estructura definida, con todos los documentos institucionales aprobados, y con profesionales calificados en cada área.</w:t>
      </w:r>
    </w:p>
    <w:p w:rsidR="0074024D" w:rsidRPr="00B2635E" w:rsidRDefault="0074024D" w:rsidP="0074024D">
      <w:pPr>
        <w:pStyle w:val="Prrafodelista"/>
        <w:rPr>
          <w:rFonts w:ascii="Dubai Light" w:hAnsi="Dubai Light" w:cs="Dubai Light" w:hint="cs"/>
          <w:b/>
          <w:sz w:val="24"/>
          <w:szCs w:val="24"/>
        </w:rPr>
      </w:pPr>
    </w:p>
    <w:p w:rsidR="0074024D" w:rsidRPr="00B2635E" w:rsidRDefault="0074024D" w:rsidP="0074024D">
      <w:pPr>
        <w:pStyle w:val="Prrafodelista"/>
        <w:numPr>
          <w:ilvl w:val="0"/>
          <w:numId w:val="17"/>
        </w:numPr>
        <w:spacing w:after="160" w:line="259" w:lineRule="auto"/>
        <w:jc w:val="both"/>
        <w:rPr>
          <w:rFonts w:ascii="Dubai Light" w:hAnsi="Dubai Light" w:cs="Dubai Light" w:hint="cs"/>
          <w:b/>
          <w:sz w:val="24"/>
          <w:szCs w:val="24"/>
          <w:u w:val="single"/>
        </w:rPr>
      </w:pPr>
      <w:r w:rsidRPr="00B2635E">
        <w:rPr>
          <w:rFonts w:ascii="Dubai Light" w:hAnsi="Dubai Light" w:cs="Dubai Light" w:hint="cs"/>
          <w:b/>
          <w:sz w:val="24"/>
          <w:szCs w:val="24"/>
          <w:u w:val="single"/>
        </w:rPr>
        <w:t>GESTIÓN DE COMUNICACIÓN</w:t>
      </w:r>
    </w:p>
    <w:p w:rsidR="0074024D" w:rsidRPr="00B2635E" w:rsidRDefault="0074024D" w:rsidP="00677105">
      <w:pPr>
        <w:jc w:val="both"/>
        <w:rPr>
          <w:rFonts w:ascii="Dubai Light" w:hAnsi="Dubai Light" w:cs="Dubai Light" w:hint="cs"/>
          <w:b/>
          <w:sz w:val="24"/>
          <w:szCs w:val="24"/>
        </w:rPr>
      </w:pPr>
    </w:p>
    <w:p w:rsidR="001D7E1F" w:rsidRPr="00B2635E" w:rsidRDefault="001D7E1F" w:rsidP="00677105">
      <w:pPr>
        <w:jc w:val="both"/>
        <w:rPr>
          <w:rFonts w:ascii="Dubai Light" w:hAnsi="Dubai Light" w:cs="Dubai Light" w:hint="cs"/>
          <w:b/>
          <w:sz w:val="24"/>
          <w:szCs w:val="24"/>
        </w:rPr>
      </w:pPr>
      <w:r w:rsidRPr="00B2635E">
        <w:rPr>
          <w:rFonts w:ascii="Dubai Light" w:hAnsi="Dubai Light" w:cs="Dubai Light" w:hint="cs"/>
          <w:b/>
          <w:sz w:val="24"/>
          <w:szCs w:val="24"/>
        </w:rPr>
        <w:t xml:space="preserve">Socialización del </w:t>
      </w:r>
      <w:r w:rsidR="00E51303" w:rsidRPr="00B2635E">
        <w:rPr>
          <w:rFonts w:ascii="Dubai Light" w:hAnsi="Dubai Light" w:cs="Dubai Light" w:hint="cs"/>
          <w:b/>
          <w:sz w:val="24"/>
          <w:szCs w:val="24"/>
        </w:rPr>
        <w:t>SPPAT</w:t>
      </w:r>
      <w:r w:rsidRPr="00B2635E">
        <w:rPr>
          <w:rFonts w:ascii="Dubai Light" w:hAnsi="Dubai Light" w:cs="Dubai Light" w:hint="cs"/>
          <w:b/>
          <w:sz w:val="24"/>
          <w:szCs w:val="24"/>
        </w:rPr>
        <w:t xml:space="preserve"> a la </w:t>
      </w:r>
      <w:r w:rsidR="008B6B0A" w:rsidRPr="00B2635E">
        <w:rPr>
          <w:rFonts w:ascii="Dubai Light" w:hAnsi="Dubai Light" w:cs="Dubai Light" w:hint="cs"/>
          <w:b/>
          <w:sz w:val="24"/>
          <w:szCs w:val="24"/>
        </w:rPr>
        <w:t>Ciudadanía</w:t>
      </w:r>
    </w:p>
    <w:p w:rsidR="001D7E1F" w:rsidRPr="00B2635E" w:rsidRDefault="001D7E1F" w:rsidP="001D7E1F">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lastRenderedPageBreak/>
        <w:t>El SPPAT en el año 201</w:t>
      </w:r>
      <w:r w:rsidR="00EA3A18" w:rsidRPr="00B2635E">
        <w:rPr>
          <w:rFonts w:ascii="Dubai Light" w:hAnsi="Dubai Light" w:cs="Dubai Light" w:hint="cs"/>
          <w:sz w:val="24"/>
          <w:szCs w:val="24"/>
        </w:rPr>
        <w:t>8</w:t>
      </w:r>
      <w:r w:rsidRPr="00B2635E">
        <w:rPr>
          <w:rFonts w:ascii="Dubai Light" w:hAnsi="Dubai Light" w:cs="Dubai Light" w:hint="cs"/>
          <w:sz w:val="24"/>
          <w:szCs w:val="24"/>
        </w:rPr>
        <w:t xml:space="preserve"> realizó la socialización a la ciudadanía a través de apariciones mediáticas, </w:t>
      </w:r>
      <w:r w:rsidR="00EA3A18" w:rsidRPr="00B2635E">
        <w:rPr>
          <w:rFonts w:ascii="Dubai Light" w:hAnsi="Dubai Light" w:cs="Dubai Light" w:hint="cs"/>
          <w:sz w:val="24"/>
          <w:szCs w:val="24"/>
        </w:rPr>
        <w:t>diálogos</w:t>
      </w:r>
      <w:r w:rsidRPr="00B2635E">
        <w:rPr>
          <w:rFonts w:ascii="Dubai Light" w:hAnsi="Dubai Light" w:cs="Dubai Light" w:hint="cs"/>
          <w:sz w:val="24"/>
          <w:szCs w:val="24"/>
        </w:rPr>
        <w:t xml:space="preserve"> informativ</w:t>
      </w:r>
      <w:r w:rsidR="00EA3A18" w:rsidRPr="00B2635E">
        <w:rPr>
          <w:rFonts w:ascii="Dubai Light" w:hAnsi="Dubai Light" w:cs="Dubai Light" w:hint="cs"/>
          <w:sz w:val="24"/>
          <w:szCs w:val="24"/>
        </w:rPr>
        <w:t>o</w:t>
      </w:r>
      <w:r w:rsidRPr="00B2635E">
        <w:rPr>
          <w:rFonts w:ascii="Dubai Light" w:hAnsi="Dubai Light" w:cs="Dubai Light" w:hint="cs"/>
          <w:sz w:val="24"/>
          <w:szCs w:val="24"/>
        </w:rPr>
        <w:t>s</w:t>
      </w:r>
      <w:r w:rsidR="00EA3A18" w:rsidRPr="00B2635E">
        <w:rPr>
          <w:rFonts w:ascii="Dubai Light" w:hAnsi="Dubai Light" w:cs="Dubai Light" w:hint="cs"/>
          <w:sz w:val="24"/>
          <w:szCs w:val="24"/>
        </w:rPr>
        <w:t>, capacitaciones con organizaciones sociales</w:t>
      </w:r>
      <w:r w:rsidRPr="00B2635E">
        <w:rPr>
          <w:rFonts w:ascii="Dubai Light" w:hAnsi="Dubai Light" w:cs="Dubai Light" w:hint="cs"/>
          <w:sz w:val="24"/>
          <w:szCs w:val="24"/>
        </w:rPr>
        <w:t xml:space="preserve"> e interacciones a través de nuestras plataformas digitales.</w:t>
      </w:r>
    </w:p>
    <w:p w:rsidR="0084566D" w:rsidRPr="00B2635E" w:rsidRDefault="0084566D" w:rsidP="001D7E1F">
      <w:pPr>
        <w:autoSpaceDE w:val="0"/>
        <w:autoSpaceDN w:val="0"/>
        <w:adjustRightInd w:val="0"/>
        <w:jc w:val="both"/>
        <w:rPr>
          <w:rFonts w:ascii="Dubai Light" w:hAnsi="Dubai Light" w:cs="Dubai Light" w:hint="cs"/>
          <w:sz w:val="24"/>
          <w:szCs w:val="24"/>
        </w:rPr>
      </w:pPr>
    </w:p>
    <w:p w:rsidR="0084566D" w:rsidRPr="00B2635E" w:rsidRDefault="0084566D" w:rsidP="001D7E1F">
      <w:pPr>
        <w:autoSpaceDE w:val="0"/>
        <w:autoSpaceDN w:val="0"/>
        <w:adjustRightInd w:val="0"/>
        <w:jc w:val="both"/>
        <w:rPr>
          <w:rFonts w:ascii="Dubai Light" w:hAnsi="Dubai Light" w:cs="Dubai Light" w:hint="cs"/>
          <w:sz w:val="24"/>
          <w:szCs w:val="24"/>
        </w:rPr>
      </w:pPr>
    </w:p>
    <w:p w:rsidR="00942463" w:rsidRPr="00B2635E" w:rsidRDefault="00942463" w:rsidP="0074024D">
      <w:pPr>
        <w:autoSpaceDE w:val="0"/>
        <w:autoSpaceDN w:val="0"/>
        <w:adjustRightInd w:val="0"/>
        <w:jc w:val="both"/>
        <w:rPr>
          <w:rFonts w:ascii="Dubai Light" w:hAnsi="Dubai Light" w:cs="Dubai Light" w:hint="cs"/>
          <w:b/>
          <w:sz w:val="24"/>
          <w:szCs w:val="24"/>
        </w:rPr>
      </w:pPr>
    </w:p>
    <w:p w:rsidR="001D7E1F" w:rsidRPr="00B2635E" w:rsidRDefault="00942463" w:rsidP="0074024D">
      <w:pPr>
        <w:autoSpaceDE w:val="0"/>
        <w:autoSpaceDN w:val="0"/>
        <w:adjustRightInd w:val="0"/>
        <w:jc w:val="both"/>
        <w:rPr>
          <w:rFonts w:ascii="Dubai Light" w:hAnsi="Dubai Light" w:cs="Dubai Light" w:hint="cs"/>
          <w:b/>
          <w:sz w:val="24"/>
          <w:szCs w:val="24"/>
        </w:rPr>
      </w:pPr>
      <w:r w:rsidRPr="00B2635E">
        <w:rPr>
          <w:rFonts w:ascii="Dubai Light" w:hAnsi="Dubai Light" w:cs="Dubai Light" w:hint="cs"/>
          <w:b/>
          <w:noProof/>
          <w:sz w:val="24"/>
          <w:szCs w:val="24"/>
        </w:rPr>
        <w:drawing>
          <wp:anchor distT="0" distB="0" distL="114300" distR="114300" simplePos="0" relativeHeight="251658240" behindDoc="0" locked="0" layoutInCell="1" allowOverlap="1">
            <wp:simplePos x="0" y="0"/>
            <wp:positionH relativeFrom="margin">
              <wp:posOffset>-657860</wp:posOffset>
            </wp:positionH>
            <wp:positionV relativeFrom="margin">
              <wp:posOffset>785267</wp:posOffset>
            </wp:positionV>
            <wp:extent cx="6719570" cy="5468620"/>
            <wp:effectExtent l="0" t="0" r="508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19570" cy="546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E1F" w:rsidRPr="00B2635E">
        <w:rPr>
          <w:rFonts w:ascii="Dubai Light" w:hAnsi="Dubai Light" w:cs="Dubai Light" w:hint="cs"/>
          <w:b/>
          <w:sz w:val="24"/>
          <w:szCs w:val="24"/>
        </w:rPr>
        <w:t xml:space="preserve">Apariciones </w:t>
      </w:r>
      <w:r w:rsidR="008B6B0A" w:rsidRPr="00B2635E">
        <w:rPr>
          <w:rFonts w:ascii="Dubai Light" w:hAnsi="Dubai Light" w:cs="Dubai Light" w:hint="cs"/>
          <w:b/>
          <w:sz w:val="24"/>
          <w:szCs w:val="24"/>
        </w:rPr>
        <w:t>mediáticas</w:t>
      </w:r>
    </w:p>
    <w:p w:rsidR="001D7E1F" w:rsidRPr="00B2635E" w:rsidRDefault="001D7E1F" w:rsidP="001D7E1F">
      <w:pPr>
        <w:autoSpaceDE w:val="0"/>
        <w:autoSpaceDN w:val="0"/>
        <w:adjustRightInd w:val="0"/>
        <w:jc w:val="both"/>
        <w:rPr>
          <w:rFonts w:ascii="Dubai Light" w:hAnsi="Dubai Light" w:cs="Dubai Light" w:hint="cs"/>
          <w:b/>
          <w:sz w:val="24"/>
          <w:szCs w:val="24"/>
        </w:rPr>
      </w:pPr>
    </w:p>
    <w:p w:rsidR="001D7E1F" w:rsidRPr="00B2635E" w:rsidRDefault="001D7E1F" w:rsidP="001D7E1F">
      <w:pPr>
        <w:autoSpaceDE w:val="0"/>
        <w:autoSpaceDN w:val="0"/>
        <w:adjustRightInd w:val="0"/>
        <w:rPr>
          <w:rFonts w:ascii="Dubai Light" w:hAnsi="Dubai Light" w:cs="Dubai Light" w:hint="cs"/>
          <w:sz w:val="20"/>
          <w:szCs w:val="20"/>
        </w:rPr>
      </w:pPr>
      <w:r w:rsidRPr="00B2635E">
        <w:rPr>
          <w:rFonts w:ascii="Dubai Light" w:hAnsi="Dubai Light" w:cs="Dubai Light" w:hint="cs"/>
          <w:sz w:val="20"/>
          <w:szCs w:val="20"/>
        </w:rPr>
        <w:t>Fuente: Unidad de Comunicación Social</w:t>
      </w:r>
    </w:p>
    <w:p w:rsidR="0084566D" w:rsidRPr="00B2635E" w:rsidRDefault="0084566D" w:rsidP="001D7E1F">
      <w:pPr>
        <w:autoSpaceDE w:val="0"/>
        <w:autoSpaceDN w:val="0"/>
        <w:adjustRightInd w:val="0"/>
        <w:rPr>
          <w:rFonts w:ascii="Dubai Light" w:hAnsi="Dubai Light" w:cs="Dubai Light" w:hint="cs"/>
          <w:sz w:val="24"/>
          <w:szCs w:val="24"/>
        </w:rPr>
      </w:pPr>
    </w:p>
    <w:p w:rsidR="00942463" w:rsidRPr="00B2635E" w:rsidRDefault="00942463" w:rsidP="001D7E1F">
      <w:pPr>
        <w:autoSpaceDE w:val="0"/>
        <w:autoSpaceDN w:val="0"/>
        <w:adjustRightInd w:val="0"/>
        <w:rPr>
          <w:rFonts w:ascii="Dubai Light" w:hAnsi="Dubai Light" w:cs="Dubai Light" w:hint="cs"/>
          <w:sz w:val="24"/>
          <w:szCs w:val="24"/>
        </w:rPr>
      </w:pPr>
    </w:p>
    <w:p w:rsidR="00942463" w:rsidRPr="00B2635E" w:rsidRDefault="00942463" w:rsidP="001D7E1F">
      <w:pPr>
        <w:autoSpaceDE w:val="0"/>
        <w:autoSpaceDN w:val="0"/>
        <w:adjustRightInd w:val="0"/>
        <w:rPr>
          <w:rFonts w:ascii="Dubai Light" w:hAnsi="Dubai Light" w:cs="Dubai Light" w:hint="cs"/>
          <w:sz w:val="24"/>
          <w:szCs w:val="24"/>
        </w:rPr>
      </w:pPr>
    </w:p>
    <w:p w:rsidR="00942463" w:rsidRPr="00B2635E" w:rsidRDefault="00942463" w:rsidP="001D7E1F">
      <w:pPr>
        <w:autoSpaceDE w:val="0"/>
        <w:autoSpaceDN w:val="0"/>
        <w:adjustRightInd w:val="0"/>
        <w:rPr>
          <w:rFonts w:ascii="Dubai Light" w:hAnsi="Dubai Light" w:cs="Dubai Light" w:hint="cs"/>
          <w:sz w:val="24"/>
          <w:szCs w:val="24"/>
        </w:rPr>
      </w:pPr>
    </w:p>
    <w:p w:rsidR="00942463" w:rsidRPr="00B2635E" w:rsidRDefault="00942463" w:rsidP="001D7E1F">
      <w:pPr>
        <w:autoSpaceDE w:val="0"/>
        <w:autoSpaceDN w:val="0"/>
        <w:adjustRightInd w:val="0"/>
        <w:rPr>
          <w:rFonts w:ascii="Dubai Light" w:hAnsi="Dubai Light" w:cs="Dubai Light" w:hint="cs"/>
          <w:sz w:val="24"/>
          <w:szCs w:val="24"/>
        </w:rPr>
      </w:pPr>
    </w:p>
    <w:p w:rsidR="001D7E1F" w:rsidRPr="00B2635E" w:rsidRDefault="001D7E1F" w:rsidP="0074024D">
      <w:pPr>
        <w:autoSpaceDE w:val="0"/>
        <w:autoSpaceDN w:val="0"/>
        <w:adjustRightInd w:val="0"/>
        <w:jc w:val="both"/>
        <w:rPr>
          <w:rFonts w:ascii="Dubai Light" w:hAnsi="Dubai Light" w:cs="Dubai Light" w:hint="cs"/>
          <w:b/>
          <w:sz w:val="24"/>
          <w:szCs w:val="24"/>
        </w:rPr>
      </w:pPr>
      <w:r w:rsidRPr="00B2635E">
        <w:rPr>
          <w:rFonts w:ascii="Dubai Light" w:hAnsi="Dubai Light" w:cs="Dubai Light" w:hint="cs"/>
          <w:b/>
          <w:sz w:val="24"/>
          <w:szCs w:val="24"/>
        </w:rPr>
        <w:t xml:space="preserve">Charlas y </w:t>
      </w:r>
      <w:r w:rsidR="008B6B0A" w:rsidRPr="00B2635E">
        <w:rPr>
          <w:rFonts w:ascii="Dubai Light" w:hAnsi="Dubai Light" w:cs="Dubai Light" w:hint="cs"/>
          <w:b/>
          <w:sz w:val="24"/>
          <w:szCs w:val="24"/>
        </w:rPr>
        <w:t>Capacitaciones</w:t>
      </w:r>
    </w:p>
    <w:p w:rsidR="001D7E1F" w:rsidRPr="00B2635E" w:rsidRDefault="001D7E1F" w:rsidP="008215FB">
      <w:pPr>
        <w:autoSpaceDE w:val="0"/>
        <w:autoSpaceDN w:val="0"/>
        <w:adjustRightInd w:val="0"/>
        <w:jc w:val="both"/>
        <w:rPr>
          <w:rFonts w:ascii="Dubai Light" w:hAnsi="Dubai Light" w:cs="Dubai Light" w:hint="cs"/>
          <w:sz w:val="24"/>
          <w:szCs w:val="24"/>
        </w:rPr>
      </w:pPr>
      <w:r w:rsidRPr="00B2635E">
        <w:rPr>
          <w:rFonts w:ascii="Dubai Light" w:hAnsi="Dubai Light" w:cs="Dubai Light" w:hint="cs"/>
          <w:sz w:val="24"/>
          <w:szCs w:val="24"/>
        </w:rPr>
        <w:t xml:space="preserve">De forma diaria, se realiza un monitoreo de noticias sobre los accidentes de tránsito en donde se identifica a las víctimas y, con el apoyo de </w:t>
      </w:r>
      <w:r w:rsidR="008B6B0A" w:rsidRPr="00B2635E">
        <w:rPr>
          <w:rFonts w:ascii="Dubai Light" w:hAnsi="Dubai Light" w:cs="Dubai Light" w:hint="cs"/>
          <w:sz w:val="24"/>
          <w:szCs w:val="24"/>
        </w:rPr>
        <w:t>las diferentes entidades</w:t>
      </w:r>
      <w:r w:rsidRPr="00B2635E">
        <w:rPr>
          <w:rFonts w:ascii="Dubai Light" w:hAnsi="Dubai Light" w:cs="Dubai Light" w:hint="cs"/>
          <w:sz w:val="24"/>
          <w:szCs w:val="24"/>
        </w:rPr>
        <w:t xml:space="preserve"> como ECU 911, Centros Forenses, Hospitales y el personal de las oficinas técnicas del SPPAT, se realiza el contacto con los familiares para brindarles información sobre las protecciones a las que tienen derecho y evitar que sean sorprendidas por personas inescrupulosas que buscan lucrar de este servicio gratuito. </w:t>
      </w:r>
    </w:p>
    <w:p w:rsidR="001D7E1F" w:rsidRPr="00B2635E" w:rsidRDefault="001D7E1F" w:rsidP="001D7E1F">
      <w:pPr>
        <w:autoSpaceDE w:val="0"/>
        <w:autoSpaceDN w:val="0"/>
        <w:adjustRightInd w:val="0"/>
        <w:jc w:val="both"/>
        <w:rPr>
          <w:rFonts w:ascii="Dubai Light" w:hAnsi="Dubai Light" w:cs="Dubai Light" w:hint="cs"/>
          <w:sz w:val="24"/>
          <w:szCs w:val="24"/>
        </w:rPr>
      </w:pPr>
    </w:p>
    <w:p w:rsidR="001D7E1F" w:rsidRPr="00B2635E" w:rsidRDefault="001D7E1F" w:rsidP="001D7E1F">
      <w:pPr>
        <w:autoSpaceDE w:val="0"/>
        <w:autoSpaceDN w:val="0"/>
        <w:adjustRightInd w:val="0"/>
        <w:jc w:val="both"/>
        <w:rPr>
          <w:rFonts w:ascii="Dubai Light" w:hAnsi="Dubai Light" w:cs="Dubai Light" w:hint="cs"/>
          <w:b/>
          <w:sz w:val="24"/>
          <w:szCs w:val="24"/>
          <w:lang w:val="es-ES_tradnl"/>
        </w:rPr>
      </w:pPr>
      <w:bookmarkStart w:id="2" w:name="_GoBack"/>
      <w:bookmarkEnd w:id="2"/>
    </w:p>
    <w:p w:rsidR="001D7E1F" w:rsidRPr="00B2635E" w:rsidRDefault="001D7E1F" w:rsidP="001D7E1F">
      <w:pPr>
        <w:autoSpaceDE w:val="0"/>
        <w:autoSpaceDN w:val="0"/>
        <w:adjustRightInd w:val="0"/>
        <w:jc w:val="both"/>
        <w:rPr>
          <w:rFonts w:ascii="Dubai Light" w:hAnsi="Dubai Light" w:cs="Dubai Light" w:hint="cs"/>
          <w:sz w:val="24"/>
          <w:szCs w:val="24"/>
        </w:rPr>
      </w:pPr>
      <w:r w:rsidRPr="00B2635E">
        <w:rPr>
          <w:rFonts w:ascii="Dubai Light" w:hAnsi="Dubai Light" w:cs="Dubai Light" w:hint="cs"/>
          <w:b/>
          <w:sz w:val="24"/>
          <w:szCs w:val="24"/>
          <w:lang w:val="es-ES_tradnl"/>
        </w:rPr>
        <w:t>Servicio Público para Pago de Accidentes de Tránsito</w:t>
      </w:r>
    </w:p>
    <w:p w:rsidR="001D7E1F" w:rsidRPr="00B2635E" w:rsidRDefault="001D7E1F" w:rsidP="001D7E1F">
      <w:pPr>
        <w:jc w:val="both"/>
        <w:rPr>
          <w:rFonts w:ascii="Dubai Light" w:hAnsi="Dubai Light" w:cs="Dubai Light" w:hint="cs"/>
          <w:sz w:val="24"/>
          <w:szCs w:val="24"/>
        </w:rPr>
      </w:pPr>
    </w:p>
    <w:bookmarkEnd w:id="1"/>
    <w:p w:rsidR="00FC3187" w:rsidRPr="00B2635E" w:rsidRDefault="00FC3187">
      <w:pPr>
        <w:rPr>
          <w:rFonts w:ascii="Dubai Light" w:hAnsi="Dubai Light" w:cs="Dubai Light" w:hint="cs"/>
          <w:sz w:val="24"/>
          <w:szCs w:val="24"/>
        </w:rPr>
      </w:pPr>
    </w:p>
    <w:sectPr w:rsidR="00FC3187" w:rsidRPr="00B2635E" w:rsidSect="001D7E1F">
      <w:headerReference w:type="default" r:id="rId16"/>
      <w:footerReference w:type="default" r:id="rId17"/>
      <w:pgSz w:w="11907" w:h="16839" w:code="9"/>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396" w:rsidRDefault="00E12396">
      <w:pPr>
        <w:spacing w:after="0" w:line="240" w:lineRule="auto"/>
      </w:pPr>
      <w:r>
        <w:separator/>
      </w:r>
    </w:p>
  </w:endnote>
  <w:endnote w:type="continuationSeparator" w:id="0">
    <w:p w:rsidR="00E12396" w:rsidRDefault="00E1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charset w:val="00"/>
    <w:family w:val="auto"/>
    <w:pitch w:val="variable"/>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ubai Light">
    <w:charset w:val="B2"/>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648811"/>
      <w:docPartObj>
        <w:docPartGallery w:val="Page Numbers (Bottom of Page)"/>
        <w:docPartUnique/>
      </w:docPartObj>
    </w:sdtPr>
    <w:sdtContent>
      <w:p w:rsidR="00580780" w:rsidRDefault="00580780">
        <w:pPr>
          <w:pStyle w:val="Piedepgina"/>
          <w:jc w:val="right"/>
        </w:pPr>
        <w:r>
          <w:fldChar w:fldCharType="begin"/>
        </w:r>
        <w:r>
          <w:instrText>PAGE   \* MERGEFORMAT</w:instrText>
        </w:r>
        <w:r>
          <w:fldChar w:fldCharType="separate"/>
        </w:r>
        <w:r>
          <w:rPr>
            <w:lang w:val="es-ES"/>
          </w:rPr>
          <w:t>2</w:t>
        </w:r>
        <w:r>
          <w:fldChar w:fldCharType="end"/>
        </w:r>
      </w:p>
    </w:sdtContent>
  </w:sdt>
  <w:p w:rsidR="00580780" w:rsidRDefault="005807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396" w:rsidRDefault="00E12396">
      <w:pPr>
        <w:spacing w:after="0" w:line="240" w:lineRule="auto"/>
      </w:pPr>
      <w:r>
        <w:separator/>
      </w:r>
    </w:p>
  </w:footnote>
  <w:footnote w:type="continuationSeparator" w:id="0">
    <w:p w:rsidR="00E12396" w:rsidRDefault="00E1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80" w:rsidRDefault="00580780">
    <w:pPr>
      <w:pStyle w:val="Encabezado"/>
    </w:pPr>
    <w:r>
      <w:rPr>
        <w:noProof/>
        <w:lang w:eastAsia="es-EC"/>
      </w:rPr>
      <w:drawing>
        <wp:anchor distT="0" distB="0" distL="114300" distR="114300" simplePos="0" relativeHeight="251661312" behindDoc="1" locked="0" layoutInCell="1" allowOverlap="1" wp14:anchorId="6624AEEF" wp14:editId="2857F306">
          <wp:simplePos x="0" y="0"/>
          <wp:positionH relativeFrom="column">
            <wp:posOffset>-1080135</wp:posOffset>
          </wp:positionH>
          <wp:positionV relativeFrom="paragraph">
            <wp:posOffset>-451126</wp:posOffset>
          </wp:positionV>
          <wp:extent cx="7553739" cy="10690312"/>
          <wp:effectExtent l="0" t="0" r="9525" b="0"/>
          <wp:wrapNone/>
          <wp:docPr id="5" name="Imagen 5" descr="C:\Users\Chente David\Documents\MASQ\SPPAT AMBATO\SPPAT - QUITO\HOJA-MEMBRETADA-SPPAT-ZONA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te David\Documents\MASQ\SPPAT AMBATO\SPPAT - QUITO\HOJA-MEMBRETADA-SPPAT-ZONALES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739" cy="10690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585"/>
    <w:multiLevelType w:val="hybridMultilevel"/>
    <w:tmpl w:val="99C0C8F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1C6299F"/>
    <w:multiLevelType w:val="hybridMultilevel"/>
    <w:tmpl w:val="E7FEA0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3D3F11"/>
    <w:multiLevelType w:val="hybridMultilevel"/>
    <w:tmpl w:val="77A67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FD5DD7"/>
    <w:multiLevelType w:val="hybridMultilevel"/>
    <w:tmpl w:val="B84CC970"/>
    <w:lvl w:ilvl="0" w:tplc="2EFCE328">
      <w:start w:val="1"/>
      <w:numFmt w:val="bullet"/>
      <w:lvlText w:val="-"/>
      <w:lvlJc w:val="left"/>
      <w:pPr>
        <w:ind w:left="720" w:hanging="360"/>
      </w:pPr>
      <w:rPr>
        <w:rFonts w:ascii="Arial" w:eastAsia="DejaVu Sans"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BFD2995"/>
    <w:multiLevelType w:val="hybridMultilevel"/>
    <w:tmpl w:val="D79E4A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E4E6D67"/>
    <w:multiLevelType w:val="hybridMultilevel"/>
    <w:tmpl w:val="E214C1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2E500C9"/>
    <w:multiLevelType w:val="hybridMultilevel"/>
    <w:tmpl w:val="763446F2"/>
    <w:lvl w:ilvl="0" w:tplc="2EFCE328">
      <w:start w:val="1"/>
      <w:numFmt w:val="bullet"/>
      <w:lvlText w:val="-"/>
      <w:lvlJc w:val="left"/>
      <w:pPr>
        <w:ind w:left="720" w:hanging="360"/>
      </w:pPr>
      <w:rPr>
        <w:rFonts w:ascii="Arial" w:eastAsia="DejaVu Sans"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31C4739"/>
    <w:multiLevelType w:val="hybridMultilevel"/>
    <w:tmpl w:val="3C0628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43D0B25"/>
    <w:multiLevelType w:val="multilevel"/>
    <w:tmpl w:val="6B1445CC"/>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83199E"/>
    <w:multiLevelType w:val="hybridMultilevel"/>
    <w:tmpl w:val="3BF476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CF349DD"/>
    <w:multiLevelType w:val="hybridMultilevel"/>
    <w:tmpl w:val="B6D245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4D079C1"/>
    <w:multiLevelType w:val="multilevel"/>
    <w:tmpl w:val="828A4D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B6A7E"/>
    <w:multiLevelType w:val="hybridMultilevel"/>
    <w:tmpl w:val="6810BE7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3" w15:restartNumberingAfterBreak="0">
    <w:nsid w:val="2BC27331"/>
    <w:multiLevelType w:val="hybridMultilevel"/>
    <w:tmpl w:val="E36C683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D4D2F54"/>
    <w:multiLevelType w:val="hybridMultilevel"/>
    <w:tmpl w:val="EB48D4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D5F574F"/>
    <w:multiLevelType w:val="hybridMultilevel"/>
    <w:tmpl w:val="7CC61C9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04A315C"/>
    <w:multiLevelType w:val="hybridMultilevel"/>
    <w:tmpl w:val="B6D245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3D113D4"/>
    <w:multiLevelType w:val="hybridMultilevel"/>
    <w:tmpl w:val="B7BACC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4BE1E2C"/>
    <w:multiLevelType w:val="hybridMultilevel"/>
    <w:tmpl w:val="50D2E7B8"/>
    <w:lvl w:ilvl="0" w:tplc="300A0011">
      <w:start w:val="1"/>
      <w:numFmt w:val="decimal"/>
      <w:lvlText w:val="%1)"/>
      <w:lvlJc w:val="left"/>
      <w:pPr>
        <w:ind w:left="795" w:hanging="360"/>
      </w:pPr>
      <w:rPr>
        <w:rFonts w:hint="default"/>
      </w:rPr>
    </w:lvl>
    <w:lvl w:ilvl="1" w:tplc="300A0003" w:tentative="1">
      <w:start w:val="1"/>
      <w:numFmt w:val="bullet"/>
      <w:lvlText w:val="o"/>
      <w:lvlJc w:val="left"/>
      <w:pPr>
        <w:ind w:left="1515" w:hanging="360"/>
      </w:pPr>
      <w:rPr>
        <w:rFonts w:ascii="Courier New" w:hAnsi="Courier New" w:cs="Courier New" w:hint="default"/>
      </w:rPr>
    </w:lvl>
    <w:lvl w:ilvl="2" w:tplc="300A0005" w:tentative="1">
      <w:start w:val="1"/>
      <w:numFmt w:val="bullet"/>
      <w:lvlText w:val=""/>
      <w:lvlJc w:val="left"/>
      <w:pPr>
        <w:ind w:left="2235" w:hanging="360"/>
      </w:pPr>
      <w:rPr>
        <w:rFonts w:ascii="Wingdings" w:hAnsi="Wingdings" w:hint="default"/>
      </w:rPr>
    </w:lvl>
    <w:lvl w:ilvl="3" w:tplc="300A0001" w:tentative="1">
      <w:start w:val="1"/>
      <w:numFmt w:val="bullet"/>
      <w:lvlText w:val=""/>
      <w:lvlJc w:val="left"/>
      <w:pPr>
        <w:ind w:left="2955" w:hanging="360"/>
      </w:pPr>
      <w:rPr>
        <w:rFonts w:ascii="Symbol" w:hAnsi="Symbol" w:hint="default"/>
      </w:rPr>
    </w:lvl>
    <w:lvl w:ilvl="4" w:tplc="300A0003" w:tentative="1">
      <w:start w:val="1"/>
      <w:numFmt w:val="bullet"/>
      <w:lvlText w:val="o"/>
      <w:lvlJc w:val="left"/>
      <w:pPr>
        <w:ind w:left="3675" w:hanging="360"/>
      </w:pPr>
      <w:rPr>
        <w:rFonts w:ascii="Courier New" w:hAnsi="Courier New" w:cs="Courier New" w:hint="default"/>
      </w:rPr>
    </w:lvl>
    <w:lvl w:ilvl="5" w:tplc="300A0005" w:tentative="1">
      <w:start w:val="1"/>
      <w:numFmt w:val="bullet"/>
      <w:lvlText w:val=""/>
      <w:lvlJc w:val="left"/>
      <w:pPr>
        <w:ind w:left="4395" w:hanging="360"/>
      </w:pPr>
      <w:rPr>
        <w:rFonts w:ascii="Wingdings" w:hAnsi="Wingdings" w:hint="default"/>
      </w:rPr>
    </w:lvl>
    <w:lvl w:ilvl="6" w:tplc="300A0001" w:tentative="1">
      <w:start w:val="1"/>
      <w:numFmt w:val="bullet"/>
      <w:lvlText w:val=""/>
      <w:lvlJc w:val="left"/>
      <w:pPr>
        <w:ind w:left="5115" w:hanging="360"/>
      </w:pPr>
      <w:rPr>
        <w:rFonts w:ascii="Symbol" w:hAnsi="Symbol" w:hint="default"/>
      </w:rPr>
    </w:lvl>
    <w:lvl w:ilvl="7" w:tplc="300A0003" w:tentative="1">
      <w:start w:val="1"/>
      <w:numFmt w:val="bullet"/>
      <w:lvlText w:val="o"/>
      <w:lvlJc w:val="left"/>
      <w:pPr>
        <w:ind w:left="5835" w:hanging="360"/>
      </w:pPr>
      <w:rPr>
        <w:rFonts w:ascii="Courier New" w:hAnsi="Courier New" w:cs="Courier New" w:hint="default"/>
      </w:rPr>
    </w:lvl>
    <w:lvl w:ilvl="8" w:tplc="300A0005" w:tentative="1">
      <w:start w:val="1"/>
      <w:numFmt w:val="bullet"/>
      <w:lvlText w:val=""/>
      <w:lvlJc w:val="left"/>
      <w:pPr>
        <w:ind w:left="6555" w:hanging="360"/>
      </w:pPr>
      <w:rPr>
        <w:rFonts w:ascii="Wingdings" w:hAnsi="Wingdings" w:hint="default"/>
      </w:rPr>
    </w:lvl>
  </w:abstractNum>
  <w:abstractNum w:abstractNumId="19" w15:restartNumberingAfterBreak="0">
    <w:nsid w:val="351D61B2"/>
    <w:multiLevelType w:val="hybridMultilevel"/>
    <w:tmpl w:val="8C4CCC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7B433E4"/>
    <w:multiLevelType w:val="hybridMultilevel"/>
    <w:tmpl w:val="DBBA28E6"/>
    <w:lvl w:ilvl="0" w:tplc="1DB03FD0">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86B27E8"/>
    <w:multiLevelType w:val="hybridMultilevel"/>
    <w:tmpl w:val="DBBA28E6"/>
    <w:lvl w:ilvl="0" w:tplc="1DB03FD0">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8DD386D"/>
    <w:multiLevelType w:val="hybridMultilevel"/>
    <w:tmpl w:val="64F0AB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A5D406F"/>
    <w:multiLevelType w:val="multilevel"/>
    <w:tmpl w:val="63308CC8"/>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24" w15:restartNumberingAfterBreak="0">
    <w:nsid w:val="3C5E261E"/>
    <w:multiLevelType w:val="hybridMultilevel"/>
    <w:tmpl w:val="EDA46A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2406382"/>
    <w:multiLevelType w:val="hybridMultilevel"/>
    <w:tmpl w:val="615A4848"/>
    <w:lvl w:ilvl="0" w:tplc="2EFCE328">
      <w:start w:val="1"/>
      <w:numFmt w:val="bullet"/>
      <w:lvlText w:val="-"/>
      <w:lvlJc w:val="left"/>
      <w:pPr>
        <w:ind w:left="720" w:hanging="360"/>
      </w:pPr>
      <w:rPr>
        <w:rFonts w:ascii="Arial" w:eastAsia="DejaVu Sans"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357338D"/>
    <w:multiLevelType w:val="multilevel"/>
    <w:tmpl w:val="D56ACBD2"/>
    <w:lvl w:ilvl="0">
      <w:start w:val="5"/>
      <w:numFmt w:val="decimal"/>
      <w:lvlText w:val="%1."/>
      <w:lvlJc w:val="left"/>
      <w:pPr>
        <w:ind w:left="450" w:hanging="450"/>
      </w:pPr>
      <w:rPr>
        <w:rFonts w:hint="default"/>
      </w:rPr>
    </w:lvl>
    <w:lvl w:ilvl="1">
      <w:start w:val="3"/>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27" w15:restartNumberingAfterBreak="0">
    <w:nsid w:val="51AB628C"/>
    <w:multiLevelType w:val="hybridMultilevel"/>
    <w:tmpl w:val="E1CAC1C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54504AA"/>
    <w:multiLevelType w:val="hybridMultilevel"/>
    <w:tmpl w:val="B79A08CC"/>
    <w:lvl w:ilvl="0" w:tplc="7FBCD480">
      <w:numFmt w:val="bullet"/>
      <w:lvlText w:val="-"/>
      <w:lvlJc w:val="left"/>
      <w:pPr>
        <w:ind w:left="720" w:hanging="360"/>
      </w:pPr>
      <w:rPr>
        <w:rFonts w:ascii="Calibri Light" w:eastAsia="MS Mincho" w:hAnsi="Calibri Light"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9920DEE"/>
    <w:multiLevelType w:val="multilevel"/>
    <w:tmpl w:val="509CD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C476D3"/>
    <w:multiLevelType w:val="hybridMultilevel"/>
    <w:tmpl w:val="9A809CD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1" w15:restartNumberingAfterBreak="0">
    <w:nsid w:val="62521E4E"/>
    <w:multiLevelType w:val="hybridMultilevel"/>
    <w:tmpl w:val="DBBA28E6"/>
    <w:lvl w:ilvl="0" w:tplc="1DB03FD0">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B0C046E"/>
    <w:multiLevelType w:val="hybridMultilevel"/>
    <w:tmpl w:val="D9E272FA"/>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33" w15:restartNumberingAfterBreak="0">
    <w:nsid w:val="6FD21784"/>
    <w:multiLevelType w:val="hybridMultilevel"/>
    <w:tmpl w:val="C45EBC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2F61814"/>
    <w:multiLevelType w:val="hybridMultilevel"/>
    <w:tmpl w:val="EBA6CD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8DF4D81"/>
    <w:multiLevelType w:val="hybridMultilevel"/>
    <w:tmpl w:val="1D9A1202"/>
    <w:lvl w:ilvl="0" w:tplc="2EFCE328">
      <w:start w:val="1"/>
      <w:numFmt w:val="bullet"/>
      <w:lvlText w:val="-"/>
      <w:lvlJc w:val="left"/>
      <w:pPr>
        <w:ind w:left="720" w:hanging="360"/>
      </w:pPr>
      <w:rPr>
        <w:rFonts w:ascii="Arial" w:eastAsia="DejaVu Sans"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939551F"/>
    <w:multiLevelType w:val="hybridMultilevel"/>
    <w:tmpl w:val="C04215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D4F1275"/>
    <w:multiLevelType w:val="hybridMultilevel"/>
    <w:tmpl w:val="DBBA28E6"/>
    <w:lvl w:ilvl="0" w:tplc="1DB03FD0">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16"/>
  </w:num>
  <w:num w:numId="3">
    <w:abstractNumId w:val="2"/>
  </w:num>
  <w:num w:numId="4">
    <w:abstractNumId w:val="23"/>
  </w:num>
  <w:num w:numId="5">
    <w:abstractNumId w:val="26"/>
  </w:num>
  <w:num w:numId="6">
    <w:abstractNumId w:val="18"/>
  </w:num>
  <w:num w:numId="7">
    <w:abstractNumId w:val="4"/>
  </w:num>
  <w:num w:numId="8">
    <w:abstractNumId w:val="7"/>
  </w:num>
  <w:num w:numId="9">
    <w:abstractNumId w:val="33"/>
  </w:num>
  <w:num w:numId="10">
    <w:abstractNumId w:val="14"/>
  </w:num>
  <w:num w:numId="11">
    <w:abstractNumId w:val="32"/>
  </w:num>
  <w:num w:numId="12">
    <w:abstractNumId w:val="12"/>
  </w:num>
  <w:num w:numId="13">
    <w:abstractNumId w:val="9"/>
  </w:num>
  <w:num w:numId="14">
    <w:abstractNumId w:val="13"/>
  </w:num>
  <w:num w:numId="15">
    <w:abstractNumId w:val="17"/>
  </w:num>
  <w:num w:numId="16">
    <w:abstractNumId w:val="34"/>
  </w:num>
  <w:num w:numId="17">
    <w:abstractNumId w:val="21"/>
  </w:num>
  <w:num w:numId="18">
    <w:abstractNumId w:val="30"/>
  </w:num>
  <w:num w:numId="19">
    <w:abstractNumId w:val="27"/>
  </w:num>
  <w:num w:numId="20">
    <w:abstractNumId w:val="15"/>
  </w:num>
  <w:num w:numId="21">
    <w:abstractNumId w:val="24"/>
  </w:num>
  <w:num w:numId="22">
    <w:abstractNumId w:val="19"/>
  </w:num>
  <w:num w:numId="23">
    <w:abstractNumId w:val="22"/>
  </w:num>
  <w:num w:numId="24">
    <w:abstractNumId w:val="31"/>
  </w:num>
  <w:num w:numId="25">
    <w:abstractNumId w:val="29"/>
  </w:num>
  <w:num w:numId="26">
    <w:abstractNumId w:val="11"/>
  </w:num>
  <w:num w:numId="27">
    <w:abstractNumId w:val="8"/>
  </w:num>
  <w:num w:numId="28">
    <w:abstractNumId w:val="20"/>
  </w:num>
  <w:num w:numId="29">
    <w:abstractNumId w:val="37"/>
  </w:num>
  <w:num w:numId="30">
    <w:abstractNumId w:val="0"/>
  </w:num>
  <w:num w:numId="31">
    <w:abstractNumId w:val="36"/>
  </w:num>
  <w:num w:numId="32">
    <w:abstractNumId w:val="5"/>
  </w:num>
  <w:num w:numId="33">
    <w:abstractNumId w:val="28"/>
  </w:num>
  <w:num w:numId="34">
    <w:abstractNumId w:val="25"/>
  </w:num>
  <w:num w:numId="35">
    <w:abstractNumId w:val="6"/>
  </w:num>
  <w:num w:numId="36">
    <w:abstractNumId w:val="35"/>
  </w:num>
  <w:num w:numId="37">
    <w:abstractNumId w:val="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1F"/>
    <w:rsid w:val="00007CE3"/>
    <w:rsid w:val="00044BF1"/>
    <w:rsid w:val="000610A0"/>
    <w:rsid w:val="000870E8"/>
    <w:rsid w:val="000D104C"/>
    <w:rsid w:val="000D36E3"/>
    <w:rsid w:val="000E6C19"/>
    <w:rsid w:val="001622E3"/>
    <w:rsid w:val="00177211"/>
    <w:rsid w:val="001855D5"/>
    <w:rsid w:val="001D7E1F"/>
    <w:rsid w:val="002136BD"/>
    <w:rsid w:val="002331DB"/>
    <w:rsid w:val="00286368"/>
    <w:rsid w:val="002A3AE3"/>
    <w:rsid w:val="002A55CB"/>
    <w:rsid w:val="002B328C"/>
    <w:rsid w:val="00304DD9"/>
    <w:rsid w:val="003947F3"/>
    <w:rsid w:val="003C26AF"/>
    <w:rsid w:val="003E69EB"/>
    <w:rsid w:val="00450391"/>
    <w:rsid w:val="00472450"/>
    <w:rsid w:val="004E3775"/>
    <w:rsid w:val="005302C0"/>
    <w:rsid w:val="005442BE"/>
    <w:rsid w:val="00551B14"/>
    <w:rsid w:val="00551C0D"/>
    <w:rsid w:val="00576CE4"/>
    <w:rsid w:val="00580780"/>
    <w:rsid w:val="00582805"/>
    <w:rsid w:val="005A0618"/>
    <w:rsid w:val="005A21A9"/>
    <w:rsid w:val="005B0569"/>
    <w:rsid w:val="005F391B"/>
    <w:rsid w:val="00601F74"/>
    <w:rsid w:val="006057F3"/>
    <w:rsid w:val="00623E8A"/>
    <w:rsid w:val="00677105"/>
    <w:rsid w:val="00690388"/>
    <w:rsid w:val="006C29FA"/>
    <w:rsid w:val="006D1049"/>
    <w:rsid w:val="00730783"/>
    <w:rsid w:val="0074024D"/>
    <w:rsid w:val="00763D40"/>
    <w:rsid w:val="007B45B1"/>
    <w:rsid w:val="007B6151"/>
    <w:rsid w:val="007C2E9B"/>
    <w:rsid w:val="007D7F95"/>
    <w:rsid w:val="008215FB"/>
    <w:rsid w:val="0083040F"/>
    <w:rsid w:val="0084566D"/>
    <w:rsid w:val="00885375"/>
    <w:rsid w:val="008A2ED4"/>
    <w:rsid w:val="008B4AF8"/>
    <w:rsid w:val="008B6B0A"/>
    <w:rsid w:val="00913740"/>
    <w:rsid w:val="00915B7B"/>
    <w:rsid w:val="00936127"/>
    <w:rsid w:val="00942463"/>
    <w:rsid w:val="0095248E"/>
    <w:rsid w:val="00957091"/>
    <w:rsid w:val="00961626"/>
    <w:rsid w:val="009D26C2"/>
    <w:rsid w:val="00A02E6A"/>
    <w:rsid w:val="00A76966"/>
    <w:rsid w:val="00AA04C4"/>
    <w:rsid w:val="00AA2D1B"/>
    <w:rsid w:val="00AC3D53"/>
    <w:rsid w:val="00AC6BA8"/>
    <w:rsid w:val="00B2635E"/>
    <w:rsid w:val="00B54540"/>
    <w:rsid w:val="00B618B1"/>
    <w:rsid w:val="00B81155"/>
    <w:rsid w:val="00BA3BB3"/>
    <w:rsid w:val="00C05511"/>
    <w:rsid w:val="00C27043"/>
    <w:rsid w:val="00C77D74"/>
    <w:rsid w:val="00C975B6"/>
    <w:rsid w:val="00D17CD2"/>
    <w:rsid w:val="00D5195B"/>
    <w:rsid w:val="00D7560D"/>
    <w:rsid w:val="00D91F87"/>
    <w:rsid w:val="00DA66EC"/>
    <w:rsid w:val="00DA7AF2"/>
    <w:rsid w:val="00DC6176"/>
    <w:rsid w:val="00DD0F0B"/>
    <w:rsid w:val="00E12396"/>
    <w:rsid w:val="00E377D2"/>
    <w:rsid w:val="00E51303"/>
    <w:rsid w:val="00E73DAD"/>
    <w:rsid w:val="00EA3A18"/>
    <w:rsid w:val="00EA5CFC"/>
    <w:rsid w:val="00EF04BC"/>
    <w:rsid w:val="00F303EE"/>
    <w:rsid w:val="00F64FAE"/>
    <w:rsid w:val="00F929CD"/>
    <w:rsid w:val="00FC318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F2EC"/>
  <w15:chartTrackingRefBased/>
  <w15:docId w15:val="{FDAE5169-B7D4-445F-8906-61D0641A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E1F"/>
    <w:pPr>
      <w:spacing w:after="200" w:line="276" w:lineRule="auto"/>
    </w:pPr>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7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E1F"/>
    <w:rPr>
      <w:rFonts w:eastAsia="MS Mincho"/>
    </w:rPr>
  </w:style>
  <w:style w:type="paragraph" w:styleId="Piedepgina">
    <w:name w:val="footer"/>
    <w:basedOn w:val="Normal"/>
    <w:link w:val="PiedepginaCar"/>
    <w:uiPriority w:val="99"/>
    <w:unhideWhenUsed/>
    <w:rsid w:val="001D7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E1F"/>
    <w:rPr>
      <w:rFonts w:eastAsia="MS Mincho"/>
    </w:rPr>
  </w:style>
  <w:style w:type="paragraph" w:styleId="Prrafodelista">
    <w:name w:val="List Paragraph"/>
    <w:basedOn w:val="Normal"/>
    <w:link w:val="PrrafodelistaCar"/>
    <w:uiPriority w:val="34"/>
    <w:qFormat/>
    <w:rsid w:val="001D7E1F"/>
    <w:pPr>
      <w:ind w:left="720"/>
      <w:contextualSpacing/>
    </w:pPr>
  </w:style>
  <w:style w:type="character" w:customStyle="1" w:styleId="PrrafodelistaCar">
    <w:name w:val="Párrafo de lista Car"/>
    <w:link w:val="Prrafodelista"/>
    <w:uiPriority w:val="34"/>
    <w:rsid w:val="001D7E1F"/>
    <w:rPr>
      <w:rFonts w:eastAsia="MS Mincho"/>
    </w:rPr>
  </w:style>
  <w:style w:type="table" w:styleId="Tablaconcuadrcula">
    <w:name w:val="Table Grid"/>
    <w:basedOn w:val="Tablanormal"/>
    <w:uiPriority w:val="39"/>
    <w:rsid w:val="001D7E1F"/>
    <w:pPr>
      <w:spacing w:after="0" w:line="240" w:lineRule="auto"/>
    </w:pPr>
    <w:rPr>
      <w:rFonts w:ascii="Cambria" w:eastAsia="Times New Roman" w:hAnsi="Cambria"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D7E1F"/>
    <w:pPr>
      <w:suppressAutoHyphens/>
      <w:spacing w:after="0" w:line="240" w:lineRule="auto"/>
    </w:pPr>
    <w:rPr>
      <w:rFonts w:ascii="Calibri" w:eastAsia="Calibri" w:hAnsi="Calibri" w:cs="Times New Roman"/>
      <w:szCs w:val="20"/>
      <w:lang w:val="es-ES" w:eastAsia="es-ES"/>
    </w:rPr>
  </w:style>
  <w:style w:type="paragraph" w:styleId="NormalWeb">
    <w:name w:val="Normal (Web)"/>
    <w:basedOn w:val="Normal"/>
    <w:uiPriority w:val="99"/>
    <w:unhideWhenUsed/>
    <w:qFormat/>
    <w:rsid w:val="001D7E1F"/>
    <w:pPr>
      <w:widowControl w:val="0"/>
      <w:suppressAutoHyphens/>
      <w:spacing w:before="280" w:after="280" w:line="240" w:lineRule="auto"/>
      <w:textAlignment w:val="baseline"/>
    </w:pPr>
    <w:rPr>
      <w:rFonts w:ascii="Times New Roman" w:eastAsia="Times New Roman" w:hAnsi="Times New Roman" w:cs="Lohit Hindi"/>
      <w:color w:val="00000A"/>
      <w:sz w:val="24"/>
      <w:szCs w:val="24"/>
      <w:lang w:eastAsia="es-EC" w:bidi="hi-IN"/>
    </w:rPr>
  </w:style>
  <w:style w:type="paragraph" w:styleId="Textodeglobo">
    <w:name w:val="Balloon Text"/>
    <w:basedOn w:val="Normal"/>
    <w:link w:val="TextodegloboCar"/>
    <w:uiPriority w:val="99"/>
    <w:semiHidden/>
    <w:unhideWhenUsed/>
    <w:rsid w:val="001D7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1F"/>
    <w:rPr>
      <w:rFonts w:ascii="Segoe UI" w:eastAsia="MS Mincho" w:hAnsi="Segoe UI" w:cs="Segoe UI"/>
      <w:sz w:val="18"/>
      <w:szCs w:val="18"/>
    </w:rPr>
  </w:style>
  <w:style w:type="character" w:styleId="Hipervnculo">
    <w:name w:val="Hyperlink"/>
    <w:basedOn w:val="Fuentedeprrafopredeter"/>
    <w:uiPriority w:val="99"/>
    <w:unhideWhenUsed/>
    <w:rsid w:val="002B328C"/>
    <w:rPr>
      <w:color w:val="0563C1" w:themeColor="hyperlink"/>
      <w:u w:val="single"/>
    </w:rPr>
  </w:style>
  <w:style w:type="character" w:styleId="Mencinsinresolver">
    <w:name w:val="Unresolved Mention"/>
    <w:basedOn w:val="Fuentedeprrafopredeter"/>
    <w:uiPriority w:val="99"/>
    <w:semiHidden/>
    <w:unhideWhenUsed/>
    <w:rsid w:val="002B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95577">
      <w:bodyDiv w:val="1"/>
      <w:marLeft w:val="0"/>
      <w:marRight w:val="0"/>
      <w:marTop w:val="0"/>
      <w:marBottom w:val="0"/>
      <w:divBdr>
        <w:top w:val="none" w:sz="0" w:space="0" w:color="auto"/>
        <w:left w:val="none" w:sz="0" w:space="0" w:color="auto"/>
        <w:bottom w:val="none" w:sz="0" w:space="0" w:color="auto"/>
        <w:right w:val="none" w:sz="0" w:space="0" w:color="auto"/>
      </w:divBdr>
    </w:div>
    <w:div w:id="642199134">
      <w:bodyDiv w:val="1"/>
      <w:marLeft w:val="0"/>
      <w:marRight w:val="0"/>
      <w:marTop w:val="0"/>
      <w:marBottom w:val="0"/>
      <w:divBdr>
        <w:top w:val="none" w:sz="0" w:space="0" w:color="auto"/>
        <w:left w:val="none" w:sz="0" w:space="0" w:color="auto"/>
        <w:bottom w:val="none" w:sz="0" w:space="0" w:color="auto"/>
        <w:right w:val="none" w:sz="0" w:space="0" w:color="auto"/>
      </w:divBdr>
    </w:div>
    <w:div w:id="708645271">
      <w:bodyDiv w:val="1"/>
      <w:marLeft w:val="0"/>
      <w:marRight w:val="0"/>
      <w:marTop w:val="0"/>
      <w:marBottom w:val="0"/>
      <w:divBdr>
        <w:top w:val="none" w:sz="0" w:space="0" w:color="auto"/>
        <w:left w:val="none" w:sz="0" w:space="0" w:color="auto"/>
        <w:bottom w:val="none" w:sz="0" w:space="0" w:color="auto"/>
        <w:right w:val="none" w:sz="0" w:space="0" w:color="auto"/>
      </w:divBdr>
    </w:div>
    <w:div w:id="17443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ompraspublicas.gob.ec/ProcesoContratacion/compras/PC/informacionProcesoContratacion2.cpe?idSoliCompra=JZeH8xBYYZ0e3qRD-VUwOJvFSoaK67tBclQTKsrO_w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raspublicas.gob.ec/ProcesoContratacion/compras/PC/informacionProcesoContratacion2.cpe?idSoliCompra=7NquLU0jmGaWKe5vO2ym2XD-xKd3tbMEWoEFYG-nVbg,"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s://www.compraspublicas.gob.ec/ProcesoContratacion/compras/PC/informacionProcesoContratacion2.cpe?idSoliCompra=KjjqD6oLRhaydA2bM2AEYgPGdOniSvwYmNdDPc0y5I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praspublicas.gob.ec/ProcesoContratacion/compras/PC/informacionProcesoContratacion2.cpe?idSoliCompra=87tqrZ6nEWV5vf0ZrewE5rMndy8thmv-kMIbOBeSN50,"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4740</Words>
  <Characters>26074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cp:lastPrinted>2019-03-21T21:03:00Z</cp:lastPrinted>
  <dcterms:created xsi:type="dcterms:W3CDTF">2019-03-28T22:37:00Z</dcterms:created>
  <dcterms:modified xsi:type="dcterms:W3CDTF">2019-03-28T22:37:00Z</dcterms:modified>
</cp:coreProperties>
</file>